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77986" w14:textId="77777777" w:rsidR="00A870D1" w:rsidRDefault="00A870D1">
      <w:pPr>
        <w:spacing w:after="200"/>
        <w:ind w:left="2000" w:hanging="1600"/>
        <w:rPr>
          <w:rFonts w:ascii="Times Roman" w:hAnsi="Times Roman" w:cs="Times Roman"/>
        </w:rPr>
      </w:pPr>
      <w:r>
        <w:rPr>
          <w:rFonts w:ascii="Times Roman" w:hAnsi="Times Roman" w:cs="Times Roman"/>
          <w:b/>
          <w:bCs/>
        </w:rPr>
        <w:t>3359-7-02     Office of university internal audit.</w:t>
      </w:r>
    </w:p>
    <w:p w14:paraId="15EDDB21" w14:textId="77777777" w:rsidR="00A870D1" w:rsidRDefault="00A870D1" w:rsidP="00A870D1">
      <w:pPr>
        <w:spacing w:after="200"/>
        <w:ind w:left="800" w:hanging="500"/>
        <w:jc w:val="both"/>
        <w:rPr>
          <w:rFonts w:ascii="Times Roman" w:hAnsi="Times Roman" w:cs="Times Roman"/>
        </w:rPr>
      </w:pPr>
      <w:r>
        <w:rPr>
          <w:rFonts w:ascii="Times Roman" w:hAnsi="Times Roman" w:cs="Times Roman"/>
        </w:rPr>
        <w:t xml:space="preserve">(A) </w:t>
      </w:r>
      <w:r>
        <w:rPr>
          <w:rFonts w:ascii="Times Roman" w:hAnsi="Times Roman" w:cs="Times Roman"/>
        </w:rPr>
        <w:t xml:space="preserve">The chief audit executive ("CAE") shall be appointed by the board or the board's designee(s) upon the joint recommendation of the president and the audit and compliance committee of the board of </w:t>
      </w:r>
      <w:proofErr w:type="gramStart"/>
      <w:r>
        <w:rPr>
          <w:rFonts w:ascii="Times Roman" w:hAnsi="Times Roman" w:cs="Times Roman"/>
        </w:rPr>
        <w:t>trustees, and</w:t>
      </w:r>
      <w:proofErr w:type="gramEnd"/>
      <w:r>
        <w:rPr>
          <w:rFonts w:ascii="Times Roman" w:hAnsi="Times Roman" w:cs="Times Roman"/>
        </w:rPr>
        <w:t xml:space="preserve"> shall hold office at the discretion of the boar</w:t>
      </w:r>
      <w:r>
        <w:rPr>
          <w:rFonts w:ascii="Times Roman" w:hAnsi="Times Roman" w:cs="Times Roman"/>
        </w:rPr>
        <w:t>d. The chief audit executive shall report directly to the president on administrative matters and the board of trustees through the audit and compliance committee of the board on functional matters.</w:t>
      </w:r>
    </w:p>
    <w:p w14:paraId="60FC4579" w14:textId="77777777" w:rsidR="00A870D1" w:rsidRDefault="00A870D1" w:rsidP="00A870D1">
      <w:pPr>
        <w:spacing w:after="200"/>
        <w:ind w:left="800" w:hanging="500"/>
        <w:jc w:val="both"/>
        <w:rPr>
          <w:rFonts w:ascii="Times Roman" w:hAnsi="Times Roman" w:cs="Times Roman"/>
        </w:rPr>
      </w:pPr>
      <w:r>
        <w:rPr>
          <w:rFonts w:ascii="Times Roman" w:hAnsi="Times Roman" w:cs="Times Roman"/>
        </w:rPr>
        <w:t>(B) The chief audit executive is responsible for conducti</w:t>
      </w:r>
      <w:r>
        <w:rPr>
          <w:rFonts w:ascii="Times Roman" w:hAnsi="Times Roman" w:cs="Times Roman"/>
        </w:rPr>
        <w:t>ng financial, operational, compliance and investigative audits. The chief audit executive, with advice and assistance from the university administration, including the vice president and general counsel, shall be responsible for developing both short and l</w:t>
      </w:r>
      <w:r>
        <w:rPr>
          <w:rFonts w:ascii="Times Roman" w:hAnsi="Times Roman" w:cs="Times Roman"/>
        </w:rPr>
        <w:t xml:space="preserve">ong-term internal audit plans, overseeing that audits are properly planned, </w:t>
      </w:r>
      <w:proofErr w:type="gramStart"/>
      <w:r>
        <w:rPr>
          <w:rFonts w:ascii="Times Roman" w:hAnsi="Times Roman" w:cs="Times Roman"/>
        </w:rPr>
        <w:t>staffed</w:t>
      </w:r>
      <w:proofErr w:type="gramEnd"/>
      <w:r>
        <w:rPr>
          <w:rFonts w:ascii="Times Roman" w:hAnsi="Times Roman" w:cs="Times Roman"/>
        </w:rPr>
        <w:t xml:space="preserve"> and completed, and summarizing and communicating results to the university administration and the audit and compliance committee and the board as appropriate. The chief aud</w:t>
      </w:r>
      <w:r>
        <w:rPr>
          <w:rFonts w:ascii="Times Roman" w:hAnsi="Times Roman" w:cs="Times Roman"/>
        </w:rPr>
        <w:t>it executive shall identify where improvements to internal control processes effectiveness and process efficiency should be made to the university's financial and operational processes.</w:t>
      </w:r>
    </w:p>
    <w:p w14:paraId="49020D8C" w14:textId="77777777" w:rsidR="00A870D1" w:rsidRDefault="00A870D1" w:rsidP="00A870D1">
      <w:pPr>
        <w:spacing w:after="200"/>
        <w:ind w:left="800" w:hanging="500"/>
        <w:jc w:val="both"/>
        <w:rPr>
          <w:rFonts w:ascii="Times Roman" w:hAnsi="Times Roman" w:cs="Times Roman"/>
        </w:rPr>
      </w:pPr>
      <w:r>
        <w:rPr>
          <w:rFonts w:ascii="Times Roman" w:hAnsi="Times Roman" w:cs="Times Roman"/>
        </w:rPr>
        <w:t xml:space="preserve">(C) The chief audit executive shall lead the evaluation and execution </w:t>
      </w:r>
      <w:r>
        <w:rPr>
          <w:rFonts w:ascii="Times Roman" w:hAnsi="Times Roman" w:cs="Times Roman"/>
        </w:rPr>
        <w:t>of audits associated with the university's compliance requirements, including, for example, compliance with university policies and rules and compliance with laws and applicable state and federal regulatory standards and mandates.</w:t>
      </w:r>
    </w:p>
    <w:p w14:paraId="6ECE7E7C" w14:textId="77777777" w:rsidR="00A870D1" w:rsidRDefault="00A870D1" w:rsidP="00A870D1">
      <w:pPr>
        <w:spacing w:after="200"/>
        <w:ind w:left="800" w:hanging="500"/>
        <w:jc w:val="both"/>
        <w:rPr>
          <w:rFonts w:ascii="Times Roman" w:hAnsi="Times Roman" w:cs="Times Roman"/>
        </w:rPr>
      </w:pPr>
      <w:r>
        <w:rPr>
          <w:rFonts w:ascii="Times Roman" w:hAnsi="Times Roman" w:cs="Times Roman"/>
        </w:rPr>
        <w:t>(D) The chief audit execu</w:t>
      </w:r>
      <w:r>
        <w:rPr>
          <w:rFonts w:ascii="Times Roman" w:hAnsi="Times Roman" w:cs="Times Roman"/>
        </w:rPr>
        <w:t xml:space="preserve">tive shall conduct those financial, </w:t>
      </w:r>
      <w:proofErr w:type="gramStart"/>
      <w:r>
        <w:rPr>
          <w:rFonts w:ascii="Times Roman" w:hAnsi="Times Roman" w:cs="Times Roman"/>
        </w:rPr>
        <w:t>operational</w:t>
      </w:r>
      <w:proofErr w:type="gramEnd"/>
      <w:r>
        <w:rPr>
          <w:rFonts w:ascii="Times Roman" w:hAnsi="Times Roman" w:cs="Times Roman"/>
        </w:rPr>
        <w:t xml:space="preserve"> and investigative audits as, from time to time, may be requested by the audit and compliance committee or the board of trustees and university administration, including the vice president and general counsel </w:t>
      </w:r>
      <w:r>
        <w:rPr>
          <w:rFonts w:ascii="Times Roman" w:hAnsi="Times Roman" w:cs="Times Roman"/>
        </w:rPr>
        <w:t>and shall perform and be responsible for the following financial audits and reviews:</w:t>
      </w:r>
    </w:p>
    <w:p w14:paraId="02D757F5" w14:textId="77777777" w:rsidR="00A870D1" w:rsidRDefault="00A870D1" w:rsidP="00A870D1">
      <w:pPr>
        <w:spacing w:after="200"/>
        <w:ind w:left="1200" w:hanging="500"/>
        <w:jc w:val="both"/>
        <w:rPr>
          <w:rFonts w:ascii="Times Roman" w:hAnsi="Times Roman" w:cs="Times Roman"/>
        </w:rPr>
      </w:pPr>
      <w:r>
        <w:rPr>
          <w:rFonts w:ascii="Times Roman" w:hAnsi="Times Roman" w:cs="Times Roman"/>
        </w:rPr>
        <w:t>(1) Audit and verify purchase orders and vouchers for bills and salaries; audit receipts of funds, including student tuition and fees, and the deposits thereof in banks an</w:t>
      </w:r>
      <w:r>
        <w:rPr>
          <w:rFonts w:ascii="Times Roman" w:hAnsi="Times Roman" w:cs="Times Roman"/>
        </w:rPr>
        <w:t>d reconciliation of all bank accounts.</w:t>
      </w:r>
    </w:p>
    <w:p w14:paraId="1A55FDB1" w14:textId="77777777" w:rsidR="00A870D1" w:rsidRDefault="00A870D1" w:rsidP="00A870D1">
      <w:pPr>
        <w:spacing w:after="200"/>
        <w:ind w:left="1200" w:hanging="500"/>
        <w:jc w:val="both"/>
        <w:rPr>
          <w:rFonts w:ascii="Times Roman" w:hAnsi="Times Roman" w:cs="Times Roman"/>
        </w:rPr>
      </w:pPr>
      <w:r>
        <w:rPr>
          <w:rFonts w:ascii="Times Roman" w:hAnsi="Times Roman" w:cs="Times Roman"/>
        </w:rPr>
        <w:t>(2) Audit general funds, auxiliary funds, restricted funds, loan funds, endowment funds, plant funds, and agency funds; and, assist the external auditors as appointed by the board and Ohio auditor of state.</w:t>
      </w:r>
    </w:p>
    <w:p w14:paraId="6FF21ECE" w14:textId="77777777" w:rsidR="00A870D1" w:rsidRDefault="00A870D1" w:rsidP="00A870D1">
      <w:pPr>
        <w:spacing w:after="200"/>
        <w:ind w:left="1200" w:hanging="500"/>
        <w:jc w:val="both"/>
        <w:rPr>
          <w:rFonts w:ascii="Times Roman" w:hAnsi="Times Roman" w:cs="Times Roman"/>
        </w:rPr>
      </w:pPr>
      <w:r>
        <w:rPr>
          <w:rFonts w:ascii="Times Roman" w:hAnsi="Times Roman" w:cs="Times Roman"/>
        </w:rPr>
        <w:t>(3) Period</w:t>
      </w:r>
      <w:r>
        <w:rPr>
          <w:rFonts w:ascii="Times Roman" w:hAnsi="Times Roman" w:cs="Times Roman"/>
        </w:rPr>
        <w:t xml:space="preserve">ically, and from time to time, inspect securities, inventories, supplies, real </w:t>
      </w:r>
      <w:proofErr w:type="gramStart"/>
      <w:r>
        <w:rPr>
          <w:rFonts w:ascii="Times Roman" w:hAnsi="Times Roman" w:cs="Times Roman"/>
        </w:rPr>
        <w:t>property</w:t>
      </w:r>
      <w:proofErr w:type="gramEnd"/>
      <w:r>
        <w:rPr>
          <w:rFonts w:ascii="Times Roman" w:hAnsi="Times Roman" w:cs="Times Roman"/>
        </w:rPr>
        <w:t xml:space="preserve"> and equipment owned by the university.</w:t>
      </w:r>
    </w:p>
    <w:p w14:paraId="3694BBD3" w14:textId="77777777" w:rsidR="00A870D1" w:rsidRDefault="00A870D1" w:rsidP="00A870D1">
      <w:pPr>
        <w:spacing w:after="200"/>
        <w:ind w:left="1200" w:hanging="500"/>
        <w:jc w:val="both"/>
        <w:rPr>
          <w:rFonts w:ascii="Times Roman" w:hAnsi="Times Roman" w:cs="Times Roman"/>
        </w:rPr>
      </w:pPr>
      <w:r>
        <w:rPr>
          <w:rFonts w:ascii="Times Roman" w:hAnsi="Times Roman" w:cs="Times Roman"/>
        </w:rPr>
        <w:t>(4) Periodically review and make recommendations for improvements of the system of internal control in effect for the entire univ</w:t>
      </w:r>
      <w:r>
        <w:rPr>
          <w:rFonts w:ascii="Times Roman" w:hAnsi="Times Roman" w:cs="Times Roman"/>
        </w:rPr>
        <w:t>ersity.</w:t>
      </w:r>
    </w:p>
    <w:p w14:paraId="02F65237" w14:textId="77777777" w:rsidR="00A870D1" w:rsidRDefault="00A870D1" w:rsidP="00A870D1">
      <w:pPr>
        <w:spacing w:after="200"/>
        <w:ind w:left="800" w:hanging="500"/>
        <w:jc w:val="both"/>
        <w:rPr>
          <w:rFonts w:ascii="Times Roman" w:hAnsi="Times Roman" w:cs="Times Roman"/>
        </w:rPr>
      </w:pPr>
      <w:r>
        <w:rPr>
          <w:rFonts w:ascii="Times Roman" w:hAnsi="Times Roman" w:cs="Times Roman"/>
        </w:rPr>
        <w:t>(E) The chief audit executive shall perform such other duties as may be assigned by the audit and compliance committee or the board of trustees and university administration.</w:t>
      </w:r>
    </w:p>
    <w:p w14:paraId="3EBCC32D" w14:textId="77777777" w:rsidR="00A870D1" w:rsidRDefault="00A870D1" w:rsidP="00A870D1">
      <w:pPr>
        <w:spacing w:after="200"/>
        <w:ind w:left="800" w:hanging="500"/>
        <w:jc w:val="both"/>
        <w:rPr>
          <w:rFonts w:ascii="Times Roman" w:hAnsi="Times Roman" w:cs="Times Roman"/>
        </w:rPr>
      </w:pPr>
      <w:r>
        <w:rPr>
          <w:rFonts w:ascii="Times Roman" w:hAnsi="Times Roman" w:cs="Times Roman"/>
        </w:rPr>
        <w:lastRenderedPageBreak/>
        <w:t xml:space="preserve">(F) </w:t>
      </w:r>
      <w:r>
        <w:rPr>
          <w:rFonts w:ascii="Times Roman" w:hAnsi="Times Roman" w:cs="Times Roman"/>
        </w:rPr>
        <w:t>Additional audit personnel. The president may recommend the appointment of additional audit personnel to support the work of the chief audit executive. These additional audit personnel may include a deputy audit executive.</w:t>
      </w:r>
    </w:p>
    <w:p w14:paraId="6768C391" w14:textId="77777777" w:rsidR="00A870D1" w:rsidRPr="00A870D1" w:rsidRDefault="00A870D1" w:rsidP="00A870D1">
      <w:pPr>
        <w:widowControl/>
        <w:autoSpaceDE/>
        <w:autoSpaceDN/>
        <w:adjustRightInd/>
        <w:ind w:left="270"/>
        <w:textAlignment w:val="baseline"/>
        <w:rPr>
          <w:rFonts w:ascii="Segoe UI" w:hAnsi="Segoe UI" w:cs="Segoe UI"/>
          <w:sz w:val="18"/>
          <w:szCs w:val="18"/>
        </w:rPr>
      </w:pPr>
      <w:r w:rsidRPr="00A870D1">
        <w:rPr>
          <w:rFonts w:ascii="Times New Roman" w:hAnsi="Times New Roman" w:cs="Times New Roman"/>
          <w:color w:val="auto"/>
        </w:rPr>
        <w:t xml:space="preserve">Effective: </w:t>
      </w:r>
      <w:r w:rsidRPr="00A870D1">
        <w:rPr>
          <w:rFonts w:ascii="Calibri" w:hAnsi="Calibri" w:cs="Calibri"/>
          <w:color w:val="auto"/>
        </w:rPr>
        <w:tab/>
      </w:r>
      <w:r w:rsidRPr="00A870D1">
        <w:rPr>
          <w:rFonts w:ascii="Calibri" w:hAnsi="Calibri" w:cs="Calibri"/>
        </w:rPr>
        <w:tab/>
      </w:r>
      <w:r w:rsidRPr="00A870D1">
        <w:rPr>
          <w:rFonts w:ascii="Calibri" w:hAnsi="Calibri" w:cs="Calibri"/>
        </w:rPr>
        <w:tab/>
      </w:r>
      <w:r w:rsidRPr="00A870D1">
        <w:rPr>
          <w:rFonts w:ascii="Calibri" w:hAnsi="Calibri" w:cs="Calibri"/>
        </w:rPr>
        <w:tab/>
      </w:r>
      <w:r w:rsidRPr="00A870D1">
        <w:rPr>
          <w:rFonts w:ascii="Calibri" w:hAnsi="Calibri" w:cs="Calibri"/>
        </w:rPr>
        <w:tab/>
      </w:r>
      <w:r w:rsidRPr="00A870D1">
        <w:rPr>
          <w:rFonts w:ascii="Times New Roman" w:hAnsi="Times New Roman" w:cs="Times New Roman"/>
          <w:color w:val="auto"/>
        </w:rPr>
        <w:t>10/14/2023</w:t>
      </w:r>
    </w:p>
    <w:p w14:paraId="3923721C" w14:textId="77777777" w:rsidR="00A870D1" w:rsidRPr="00A870D1" w:rsidRDefault="00A870D1" w:rsidP="00A870D1">
      <w:pPr>
        <w:widowControl/>
        <w:autoSpaceDE/>
        <w:autoSpaceDN/>
        <w:adjustRightInd/>
        <w:ind w:left="270"/>
        <w:textAlignment w:val="baseline"/>
        <w:rPr>
          <w:rFonts w:ascii="Segoe UI" w:hAnsi="Segoe UI" w:cs="Segoe UI"/>
          <w:sz w:val="18"/>
          <w:szCs w:val="18"/>
        </w:rPr>
      </w:pPr>
      <w:r w:rsidRPr="00A870D1">
        <w:rPr>
          <w:rFonts w:ascii="Times New Roman" w:hAnsi="Times New Roman" w:cs="Times New Roman"/>
          <w:color w:val="auto"/>
        </w:rPr>
        <w:t> </w:t>
      </w:r>
    </w:p>
    <w:p w14:paraId="1FDD6D3F" w14:textId="77777777" w:rsidR="00A870D1" w:rsidRPr="00A870D1" w:rsidRDefault="00A870D1" w:rsidP="00A870D1">
      <w:pPr>
        <w:widowControl/>
        <w:autoSpaceDE/>
        <w:autoSpaceDN/>
        <w:adjustRightInd/>
        <w:ind w:left="270"/>
        <w:textAlignment w:val="baseline"/>
        <w:rPr>
          <w:rFonts w:ascii="Segoe UI" w:hAnsi="Segoe UI" w:cs="Segoe UI"/>
          <w:sz w:val="18"/>
          <w:szCs w:val="18"/>
        </w:rPr>
      </w:pPr>
      <w:r w:rsidRPr="00A870D1">
        <w:rPr>
          <w:rFonts w:ascii="Times New Roman" w:hAnsi="Times New Roman" w:cs="Times New Roman"/>
          <w:color w:val="auto"/>
        </w:rPr>
        <w:t xml:space="preserve">Certification: </w:t>
      </w:r>
      <w:r w:rsidRPr="00A870D1">
        <w:rPr>
          <w:rFonts w:ascii="Calibri" w:hAnsi="Calibri" w:cs="Calibri"/>
          <w:color w:val="auto"/>
        </w:rPr>
        <w:tab/>
      </w:r>
      <w:r w:rsidRPr="00A870D1">
        <w:rPr>
          <w:rFonts w:ascii="Calibri" w:hAnsi="Calibri" w:cs="Calibri"/>
        </w:rPr>
        <w:tab/>
      </w:r>
      <w:r w:rsidRPr="00A870D1">
        <w:rPr>
          <w:rFonts w:ascii="Calibri" w:hAnsi="Calibri" w:cs="Calibri"/>
        </w:rPr>
        <w:tab/>
      </w:r>
      <w:r w:rsidRPr="00A870D1">
        <w:rPr>
          <w:rFonts w:ascii="Calibri" w:hAnsi="Calibri" w:cs="Calibri"/>
        </w:rPr>
        <w:tab/>
      </w:r>
      <w:r w:rsidRPr="00A870D1">
        <w:rPr>
          <w:rFonts w:ascii="Times New Roman" w:hAnsi="Times New Roman" w:cs="Times New Roman"/>
          <w:color w:val="auto"/>
        </w:rPr>
        <w:t>_______________________________ </w:t>
      </w:r>
    </w:p>
    <w:p w14:paraId="0CB4D1E5" w14:textId="77777777" w:rsidR="00A870D1" w:rsidRPr="00A870D1" w:rsidRDefault="00A870D1" w:rsidP="00A870D1">
      <w:pPr>
        <w:widowControl/>
        <w:autoSpaceDE/>
        <w:autoSpaceDN/>
        <w:adjustRightInd/>
        <w:ind w:left="3870" w:firstLine="450"/>
        <w:textAlignment w:val="baseline"/>
        <w:rPr>
          <w:rFonts w:ascii="Segoe UI" w:hAnsi="Segoe UI" w:cs="Segoe UI"/>
          <w:sz w:val="18"/>
          <w:szCs w:val="18"/>
        </w:rPr>
      </w:pPr>
      <w:r w:rsidRPr="00A870D1">
        <w:rPr>
          <w:rFonts w:ascii="Times New Roman" w:hAnsi="Times New Roman" w:cs="Times New Roman"/>
          <w:color w:val="auto"/>
        </w:rPr>
        <w:t>M. Celeste Cook </w:t>
      </w:r>
    </w:p>
    <w:p w14:paraId="0FE50706" w14:textId="77777777" w:rsidR="00A870D1" w:rsidRPr="00A870D1" w:rsidRDefault="00A870D1" w:rsidP="00A870D1">
      <w:pPr>
        <w:widowControl/>
        <w:autoSpaceDE/>
        <w:autoSpaceDN/>
        <w:adjustRightInd/>
        <w:ind w:left="3870" w:firstLine="450"/>
        <w:textAlignment w:val="baseline"/>
        <w:rPr>
          <w:rFonts w:ascii="Segoe UI" w:hAnsi="Segoe UI" w:cs="Segoe UI"/>
          <w:sz w:val="18"/>
          <w:szCs w:val="18"/>
        </w:rPr>
      </w:pPr>
      <w:r w:rsidRPr="00A870D1">
        <w:rPr>
          <w:rFonts w:ascii="Times New Roman" w:hAnsi="Times New Roman" w:cs="Times New Roman"/>
          <w:color w:val="auto"/>
        </w:rPr>
        <w:t>Secretary </w:t>
      </w:r>
    </w:p>
    <w:p w14:paraId="604B39EF" w14:textId="77777777" w:rsidR="00A870D1" w:rsidRPr="00A870D1" w:rsidRDefault="00A870D1" w:rsidP="00A870D1">
      <w:pPr>
        <w:widowControl/>
        <w:autoSpaceDE/>
        <w:autoSpaceDN/>
        <w:adjustRightInd/>
        <w:ind w:left="3870" w:firstLine="450"/>
        <w:textAlignment w:val="baseline"/>
        <w:rPr>
          <w:rFonts w:ascii="Segoe UI" w:hAnsi="Segoe UI" w:cs="Segoe UI"/>
          <w:sz w:val="18"/>
          <w:szCs w:val="18"/>
        </w:rPr>
      </w:pPr>
      <w:r w:rsidRPr="00A870D1">
        <w:rPr>
          <w:rFonts w:ascii="Times New Roman" w:hAnsi="Times New Roman" w:cs="Times New Roman"/>
          <w:color w:val="auto"/>
        </w:rPr>
        <w:t>Board of Trustees </w:t>
      </w:r>
    </w:p>
    <w:p w14:paraId="40FA6DFA" w14:textId="77777777" w:rsidR="00A870D1" w:rsidRPr="00A870D1" w:rsidRDefault="00A870D1" w:rsidP="00A870D1">
      <w:pPr>
        <w:widowControl/>
        <w:autoSpaceDE/>
        <w:autoSpaceDN/>
        <w:adjustRightInd/>
        <w:ind w:left="3870" w:firstLine="450"/>
        <w:textAlignment w:val="baseline"/>
        <w:rPr>
          <w:rFonts w:ascii="Segoe UI" w:hAnsi="Segoe UI" w:cs="Segoe UI"/>
          <w:sz w:val="18"/>
          <w:szCs w:val="18"/>
        </w:rPr>
      </w:pPr>
      <w:r w:rsidRPr="00A870D1">
        <w:rPr>
          <w:rFonts w:ascii="Times New Roman" w:hAnsi="Times New Roman" w:cs="Times New Roman"/>
          <w:color w:val="auto"/>
        </w:rPr>
        <w:t> </w:t>
      </w:r>
    </w:p>
    <w:p w14:paraId="6259D5BA" w14:textId="77777777" w:rsidR="00A870D1" w:rsidRPr="00A870D1" w:rsidRDefault="00A870D1" w:rsidP="00A870D1">
      <w:pPr>
        <w:widowControl/>
        <w:autoSpaceDE/>
        <w:autoSpaceDN/>
        <w:adjustRightInd/>
        <w:ind w:left="270"/>
        <w:textAlignment w:val="baseline"/>
        <w:rPr>
          <w:rFonts w:ascii="Segoe UI" w:hAnsi="Segoe UI" w:cs="Segoe UI"/>
          <w:sz w:val="18"/>
          <w:szCs w:val="18"/>
        </w:rPr>
      </w:pPr>
      <w:r w:rsidRPr="00A870D1">
        <w:rPr>
          <w:rFonts w:ascii="Times New Roman" w:hAnsi="Times New Roman" w:cs="Times New Roman"/>
          <w:color w:val="auto"/>
        </w:rPr>
        <w:t xml:space="preserve">Promulgated Under: </w:t>
      </w:r>
      <w:r w:rsidRPr="00A870D1">
        <w:rPr>
          <w:rFonts w:ascii="Calibri" w:hAnsi="Calibri" w:cs="Calibri"/>
          <w:color w:val="auto"/>
        </w:rPr>
        <w:tab/>
      </w:r>
      <w:r w:rsidRPr="00A870D1">
        <w:rPr>
          <w:rFonts w:ascii="Calibri" w:hAnsi="Calibri" w:cs="Calibri"/>
        </w:rPr>
        <w:tab/>
      </w:r>
      <w:r w:rsidRPr="00A870D1">
        <w:rPr>
          <w:rFonts w:ascii="Calibri" w:hAnsi="Calibri" w:cs="Calibri"/>
        </w:rPr>
        <w:tab/>
      </w:r>
      <w:r w:rsidRPr="00A870D1">
        <w:rPr>
          <w:rFonts w:ascii="Times New Roman" w:hAnsi="Times New Roman" w:cs="Times New Roman"/>
          <w:color w:val="auto"/>
        </w:rPr>
        <w:t>111.15 </w:t>
      </w:r>
    </w:p>
    <w:p w14:paraId="2B692C78" w14:textId="77777777" w:rsidR="00A870D1" w:rsidRPr="00A870D1" w:rsidRDefault="00A870D1" w:rsidP="00A870D1">
      <w:pPr>
        <w:widowControl/>
        <w:autoSpaceDE/>
        <w:autoSpaceDN/>
        <w:adjustRightInd/>
        <w:ind w:left="270"/>
        <w:textAlignment w:val="baseline"/>
        <w:rPr>
          <w:rFonts w:ascii="Segoe UI" w:hAnsi="Segoe UI" w:cs="Segoe UI"/>
          <w:sz w:val="18"/>
          <w:szCs w:val="18"/>
        </w:rPr>
      </w:pPr>
      <w:r w:rsidRPr="00A870D1">
        <w:rPr>
          <w:rFonts w:ascii="Times New Roman" w:hAnsi="Times New Roman" w:cs="Times New Roman"/>
          <w:color w:val="auto"/>
        </w:rPr>
        <w:t> </w:t>
      </w:r>
    </w:p>
    <w:p w14:paraId="7CDBC0A5" w14:textId="77777777" w:rsidR="00A870D1" w:rsidRPr="00A870D1" w:rsidRDefault="00A870D1" w:rsidP="00A870D1">
      <w:pPr>
        <w:widowControl/>
        <w:autoSpaceDE/>
        <w:autoSpaceDN/>
        <w:adjustRightInd/>
        <w:ind w:left="270"/>
        <w:textAlignment w:val="baseline"/>
        <w:rPr>
          <w:rFonts w:ascii="Segoe UI" w:hAnsi="Segoe UI" w:cs="Segoe UI"/>
          <w:sz w:val="18"/>
          <w:szCs w:val="18"/>
        </w:rPr>
      </w:pPr>
      <w:r w:rsidRPr="00A870D1">
        <w:rPr>
          <w:rFonts w:ascii="Times New Roman" w:hAnsi="Times New Roman" w:cs="Times New Roman"/>
          <w:color w:val="auto"/>
        </w:rPr>
        <w:t xml:space="preserve">Statutory Authority: </w:t>
      </w:r>
      <w:r w:rsidRPr="00A870D1">
        <w:rPr>
          <w:rFonts w:ascii="Calibri" w:hAnsi="Calibri" w:cs="Calibri"/>
          <w:color w:val="auto"/>
        </w:rPr>
        <w:tab/>
      </w:r>
      <w:r w:rsidRPr="00A870D1">
        <w:rPr>
          <w:rFonts w:ascii="Calibri" w:hAnsi="Calibri" w:cs="Calibri"/>
        </w:rPr>
        <w:tab/>
      </w:r>
      <w:r w:rsidRPr="00A870D1">
        <w:rPr>
          <w:rFonts w:ascii="Calibri" w:hAnsi="Calibri" w:cs="Calibri"/>
        </w:rPr>
        <w:tab/>
      </w:r>
      <w:r w:rsidRPr="00A870D1">
        <w:rPr>
          <w:rFonts w:ascii="Times New Roman" w:hAnsi="Times New Roman" w:cs="Times New Roman"/>
          <w:color w:val="auto"/>
        </w:rPr>
        <w:t>3359.01 </w:t>
      </w:r>
    </w:p>
    <w:p w14:paraId="157A7DF8" w14:textId="77777777" w:rsidR="00A870D1" w:rsidRPr="00A870D1" w:rsidRDefault="00A870D1" w:rsidP="00A870D1">
      <w:pPr>
        <w:widowControl/>
        <w:autoSpaceDE/>
        <w:autoSpaceDN/>
        <w:adjustRightInd/>
        <w:ind w:left="270"/>
        <w:textAlignment w:val="baseline"/>
        <w:rPr>
          <w:rFonts w:ascii="Segoe UI" w:hAnsi="Segoe UI" w:cs="Segoe UI"/>
          <w:sz w:val="18"/>
          <w:szCs w:val="18"/>
        </w:rPr>
      </w:pPr>
      <w:r w:rsidRPr="00A870D1">
        <w:rPr>
          <w:rFonts w:ascii="Times New Roman" w:hAnsi="Times New Roman" w:cs="Times New Roman"/>
          <w:color w:val="auto"/>
        </w:rPr>
        <w:t> </w:t>
      </w:r>
    </w:p>
    <w:p w14:paraId="173F48AC" w14:textId="77777777" w:rsidR="00A870D1" w:rsidRPr="00A870D1" w:rsidRDefault="00A870D1" w:rsidP="00A870D1">
      <w:pPr>
        <w:widowControl/>
        <w:autoSpaceDE/>
        <w:autoSpaceDN/>
        <w:adjustRightInd/>
        <w:ind w:left="270"/>
        <w:textAlignment w:val="baseline"/>
        <w:rPr>
          <w:rFonts w:ascii="Segoe UI" w:hAnsi="Segoe UI" w:cs="Segoe UI"/>
          <w:sz w:val="18"/>
          <w:szCs w:val="18"/>
        </w:rPr>
      </w:pPr>
      <w:r w:rsidRPr="00A870D1">
        <w:rPr>
          <w:rFonts w:ascii="Times New Roman" w:hAnsi="Times New Roman" w:cs="Times New Roman"/>
          <w:color w:val="auto"/>
        </w:rPr>
        <w:t xml:space="preserve">Rule Amplifies: </w:t>
      </w:r>
      <w:r w:rsidRPr="00A870D1">
        <w:rPr>
          <w:rFonts w:ascii="Calibri" w:hAnsi="Calibri" w:cs="Calibri"/>
          <w:color w:val="auto"/>
        </w:rPr>
        <w:tab/>
      </w:r>
      <w:r w:rsidRPr="00A870D1">
        <w:rPr>
          <w:rFonts w:ascii="Calibri" w:hAnsi="Calibri" w:cs="Calibri"/>
        </w:rPr>
        <w:tab/>
      </w:r>
      <w:r w:rsidRPr="00A870D1">
        <w:rPr>
          <w:rFonts w:ascii="Calibri" w:hAnsi="Calibri" w:cs="Calibri"/>
        </w:rPr>
        <w:tab/>
      </w:r>
      <w:r w:rsidRPr="00A870D1">
        <w:rPr>
          <w:rFonts w:ascii="Calibri" w:hAnsi="Calibri" w:cs="Calibri"/>
        </w:rPr>
        <w:tab/>
      </w:r>
      <w:r w:rsidRPr="00A870D1">
        <w:rPr>
          <w:rFonts w:ascii="Times New Roman" w:hAnsi="Times New Roman" w:cs="Times New Roman"/>
          <w:color w:val="auto"/>
        </w:rPr>
        <w:t>3359.01 </w:t>
      </w:r>
    </w:p>
    <w:p w14:paraId="71D39D16" w14:textId="77777777" w:rsidR="00A870D1" w:rsidRPr="00A870D1" w:rsidRDefault="00A870D1" w:rsidP="00A870D1">
      <w:pPr>
        <w:widowControl/>
        <w:autoSpaceDE/>
        <w:autoSpaceDN/>
        <w:adjustRightInd/>
        <w:ind w:left="270"/>
        <w:textAlignment w:val="baseline"/>
        <w:rPr>
          <w:rFonts w:ascii="Segoe UI" w:hAnsi="Segoe UI" w:cs="Segoe UI"/>
          <w:sz w:val="18"/>
          <w:szCs w:val="18"/>
        </w:rPr>
      </w:pPr>
      <w:r w:rsidRPr="00A870D1">
        <w:rPr>
          <w:rFonts w:ascii="Times New Roman" w:hAnsi="Times New Roman" w:cs="Times New Roman"/>
          <w:color w:val="auto"/>
        </w:rPr>
        <w:t> </w:t>
      </w:r>
    </w:p>
    <w:p w14:paraId="5E3E5472" w14:textId="77777777" w:rsidR="00A870D1" w:rsidRPr="00A870D1" w:rsidRDefault="00A870D1" w:rsidP="00A870D1">
      <w:pPr>
        <w:widowControl/>
        <w:autoSpaceDE/>
        <w:autoSpaceDN/>
        <w:adjustRightInd/>
        <w:ind w:left="4320" w:hanging="4050"/>
        <w:textAlignment w:val="baseline"/>
        <w:rPr>
          <w:rFonts w:ascii="Segoe UI" w:hAnsi="Segoe UI" w:cs="Segoe UI"/>
          <w:sz w:val="18"/>
          <w:szCs w:val="18"/>
        </w:rPr>
      </w:pPr>
      <w:r w:rsidRPr="00A870D1">
        <w:rPr>
          <w:rFonts w:ascii="Times New Roman" w:hAnsi="Times New Roman" w:cs="Times New Roman"/>
          <w:color w:val="auto"/>
        </w:rPr>
        <w:t xml:space="preserve">Prior Effective Dates: </w:t>
      </w:r>
      <w:r w:rsidRPr="00A870D1">
        <w:rPr>
          <w:rFonts w:ascii="Calibri" w:hAnsi="Calibri" w:cs="Calibri"/>
          <w:color w:val="auto"/>
        </w:rPr>
        <w:tab/>
      </w:r>
      <w:r w:rsidRPr="00A870D1">
        <w:rPr>
          <w:rFonts w:ascii="Times New Roman" w:hAnsi="Times New Roman" w:cs="Times New Roman"/>
          <w:color w:val="auto"/>
        </w:rPr>
        <w:t>06/29/2002, 04/11/2003, 03/31/2005, 06/25/2007, 10/06/2011, 01/31/2015, 06/28/2018 </w:t>
      </w:r>
    </w:p>
    <w:p w14:paraId="6A985BDB" w14:textId="77777777" w:rsidR="00A870D1" w:rsidRDefault="00A870D1">
      <w:pPr>
        <w:rPr>
          <w:rFonts w:ascii="Times New Roman" w:hAnsi="Times New Roman" w:cs="Times New Roman"/>
          <w:color w:val="auto"/>
        </w:rPr>
      </w:pPr>
    </w:p>
    <w:sectPr w:rsidR="00000000" w:rsidSect="00A870D1">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1D0A5" w14:textId="77777777" w:rsidR="00A870D1" w:rsidRDefault="00A870D1">
      <w:r>
        <w:separator/>
      </w:r>
    </w:p>
  </w:endnote>
  <w:endnote w:type="continuationSeparator" w:id="0">
    <w:p w14:paraId="6C18F456" w14:textId="77777777" w:rsidR="00A870D1" w:rsidRDefault="00A8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CE7A" w14:textId="77777777" w:rsidR="00A870D1" w:rsidRDefault="00A870D1">
      <w:r>
        <w:separator/>
      </w:r>
    </w:p>
  </w:footnote>
  <w:footnote w:type="continuationSeparator" w:id="0">
    <w:p w14:paraId="521D0FCE" w14:textId="77777777" w:rsidR="00A870D1" w:rsidRDefault="00A87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117B" w14:textId="30B7D4EF" w:rsidR="00A870D1" w:rsidRPr="00A870D1" w:rsidRDefault="00A870D1">
    <w:pPr>
      <w:spacing w:line="320" w:lineRule="atLeast"/>
      <w:jc w:val="center"/>
      <w:rPr>
        <w:rFonts w:ascii="Times New Roman" w:hAnsi="Times New Roman" w:cs="Times New Roman"/>
        <w:color w:val="auto"/>
      </w:rPr>
    </w:pPr>
    <w:r w:rsidRPr="00A870D1">
      <w:rPr>
        <w:rFonts w:ascii="Times New Roman" w:hAnsi="Times New Roman" w:cs="Times New Roman"/>
        <w:color w:val="auto"/>
      </w:rPr>
      <w:t>3359-7-02</w:t>
    </w:r>
    <w:r w:rsidRPr="00A870D1">
      <w:rPr>
        <w:rFonts w:ascii="Times New Roman" w:hAnsi="Times New Roman" w:cs="Times New Roman"/>
        <w:color w:val="auto"/>
      </w:rPr>
      <w:tab/>
    </w:r>
    <w:r w:rsidRPr="00A870D1">
      <w:rPr>
        <w:rFonts w:ascii="Times New Roman" w:hAnsi="Times New Roman" w:cs="Times New Roman"/>
        <w:color w:val="auto"/>
      </w:rPr>
      <w:tab/>
    </w:r>
    <w:r w:rsidRPr="00A870D1">
      <w:rPr>
        <w:rFonts w:ascii="Times New Roman" w:hAnsi="Times New Roman" w:cs="Times New Roman"/>
        <w:color w:val="auto"/>
      </w:rPr>
      <w:tab/>
    </w:r>
    <w:r w:rsidRPr="00A870D1">
      <w:rPr>
        <w:rFonts w:ascii="Times New Roman" w:hAnsi="Times New Roman" w:cs="Times New Roman"/>
        <w:color w:val="auto"/>
      </w:rPr>
      <w:tab/>
    </w:r>
    <w:r w:rsidRPr="00A870D1">
      <w:rPr>
        <w:rFonts w:ascii="Times New Roman" w:hAnsi="Times New Roman" w:cs="Times New Roman"/>
        <w:color w:val="auto"/>
      </w:rPr>
      <w:tab/>
    </w:r>
    <w:r w:rsidRPr="00A870D1">
      <w:rPr>
        <w:rFonts w:ascii="Times New Roman" w:hAnsi="Times New Roman" w:cs="Times New Roman"/>
        <w:color w:val="auto"/>
      </w:rPr>
      <w:tab/>
    </w:r>
    <w:r w:rsidRPr="00A870D1">
      <w:rPr>
        <w:rFonts w:ascii="Times New Roman" w:hAnsi="Times New Roman" w:cs="Times New Roman"/>
        <w:color w:val="auto"/>
      </w:rPr>
      <w:tab/>
    </w:r>
    <w:r w:rsidRPr="00A870D1">
      <w:rPr>
        <w:rFonts w:ascii="Times New Roman" w:hAnsi="Times New Roman" w:cs="Times New Roman"/>
        <w:color w:val="auto"/>
      </w:rPr>
      <w:tab/>
    </w:r>
    <w:r w:rsidRPr="00A870D1">
      <w:rPr>
        <w:rFonts w:ascii="Times New Roman" w:hAnsi="Times New Roman" w:cs="Times New Roman"/>
        <w:color w:val="auto"/>
      </w:rPr>
      <w:tab/>
    </w:r>
    <w:r w:rsidRPr="00A870D1">
      <w:rPr>
        <w:rFonts w:ascii="Times New Roman" w:hAnsi="Times New Roman" w:cs="Times New Roman"/>
        <w:color w:val="auto"/>
      </w:rPr>
      <w:tab/>
    </w:r>
    <w:r w:rsidRPr="00A870D1">
      <w:rPr>
        <w:rFonts w:ascii="Times New Roman" w:hAnsi="Times New Roman" w:cs="Times New Roman"/>
        <w:color w:val="auto"/>
      </w:rPr>
      <w:tab/>
    </w:r>
    <w:r w:rsidRPr="00A870D1">
      <w:rPr>
        <w:rFonts w:ascii="Times New Roman" w:hAnsi="Times New Roman" w:cs="Times New Roman"/>
        <w:color w:val="auto"/>
      </w:rPr>
      <w:fldChar w:fldCharType="begin"/>
    </w:r>
    <w:r w:rsidRPr="00A870D1">
      <w:rPr>
        <w:rFonts w:ascii="Times New Roman" w:hAnsi="Times New Roman" w:cs="Times New Roman"/>
        <w:color w:val="auto"/>
      </w:rPr>
      <w:instrText xml:space="preserve"> PAGE   \* MERGEFORMAT </w:instrText>
    </w:r>
    <w:r w:rsidRPr="00A870D1">
      <w:rPr>
        <w:rFonts w:ascii="Times New Roman" w:hAnsi="Times New Roman" w:cs="Times New Roman"/>
        <w:color w:val="auto"/>
      </w:rPr>
      <w:fldChar w:fldCharType="separate"/>
    </w:r>
    <w:r w:rsidRPr="00A870D1">
      <w:rPr>
        <w:rFonts w:ascii="Times New Roman" w:hAnsi="Times New Roman" w:cs="Times New Roman"/>
        <w:noProof/>
        <w:color w:val="auto"/>
      </w:rPr>
      <w:t>1</w:t>
    </w:r>
    <w:r w:rsidRPr="00A870D1">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70D1"/>
    <w:rsid w:val="00A8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5C96BD"/>
  <w14:defaultImageDpi w14:val="0"/>
  <w15:docId w15:val="{0F1FAC0E-571D-464C-A37D-D0658CF0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A870D1"/>
    <w:pPr>
      <w:tabs>
        <w:tab w:val="center" w:pos="4680"/>
        <w:tab w:val="right" w:pos="9360"/>
      </w:tabs>
    </w:pPr>
  </w:style>
  <w:style w:type="character" w:customStyle="1" w:styleId="HeaderChar">
    <w:name w:val="Header Char"/>
    <w:link w:val="Header"/>
    <w:uiPriority w:val="99"/>
    <w:rsid w:val="00A870D1"/>
    <w:rPr>
      <w:rFonts w:ascii="Arial" w:hAnsi="Arial" w:cs="Arial"/>
      <w:color w:val="000000"/>
      <w:kern w:val="0"/>
      <w:sz w:val="24"/>
      <w:szCs w:val="24"/>
    </w:rPr>
  </w:style>
  <w:style w:type="paragraph" w:styleId="Footer">
    <w:name w:val="footer"/>
    <w:basedOn w:val="Normal"/>
    <w:link w:val="FooterChar"/>
    <w:uiPriority w:val="99"/>
    <w:unhideWhenUsed/>
    <w:rsid w:val="00A870D1"/>
    <w:pPr>
      <w:tabs>
        <w:tab w:val="center" w:pos="4680"/>
        <w:tab w:val="right" w:pos="9360"/>
      </w:tabs>
    </w:pPr>
  </w:style>
  <w:style w:type="character" w:customStyle="1" w:styleId="FooterChar">
    <w:name w:val="Footer Char"/>
    <w:link w:val="Footer"/>
    <w:uiPriority w:val="99"/>
    <w:rsid w:val="00A870D1"/>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2023-10-19T18:43:00Z</dcterms:created>
  <dcterms:modified xsi:type="dcterms:W3CDTF">2023-10-19T18:43:00Z</dcterms:modified>
</cp:coreProperties>
</file>