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90" w:after="0"/>
        <w:ind w:left="513" w:right="0" w:hanging="394"/>
        <w:jc w:val="left"/>
        <w:rPr>
          <w:sz w:val="24"/>
        </w:rPr>
      </w:pPr>
      <w:r>
        <w:rPr>
          <w:sz w:val="24"/>
        </w:rPr>
        <w:t>To be eligible for academic reassessment due to leave of absence, a student </w:t>
      </w:r>
      <w:r>
        <w:rPr>
          <w:spacing w:val="-2"/>
          <w:sz w:val="24"/>
        </w:rPr>
        <w:t>shall: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60" w:val="left" w:leader="none"/>
        </w:tabs>
        <w:spacing w:line="230" w:lineRule="auto" w:before="0" w:after="0"/>
        <w:ind w:left="1253" w:right="118" w:hanging="567"/>
        <w:jc w:val="both"/>
        <w:rPr>
          <w:sz w:val="24"/>
        </w:rPr>
      </w:pPr>
      <w:r>
        <w:rPr>
          <w:sz w:val="24"/>
        </w:rPr>
        <w:t>Have not attended the university of Akron for at least two calendar years. A semester or summer session in which the student received all "WD" grades cannot be counted as part of the separation period; and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40" w:val="left" w:leader="none"/>
        </w:tabs>
        <w:spacing w:line="230" w:lineRule="auto" w:before="0" w:after="0"/>
        <w:ind w:left="1253" w:right="114" w:hanging="567"/>
        <w:jc w:val="both"/>
        <w:rPr>
          <w:sz w:val="24"/>
        </w:rPr>
      </w:pPr>
      <w:r>
        <w:rPr>
          <w:sz w:val="24"/>
        </w:rPr>
        <w:t>Have reenrolled and maintained a grade point average of 2.50 or higher for the first twenty-four letter-graded ("A" through "F") hours attempted at the university of Akron; and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67" w:val="left" w:leader="none"/>
        </w:tabs>
        <w:spacing w:line="230" w:lineRule="auto" w:before="0" w:after="0"/>
        <w:ind w:left="1253" w:right="119" w:hanging="567"/>
        <w:jc w:val="both"/>
        <w:rPr>
          <w:sz w:val="24"/>
        </w:rPr>
      </w:pPr>
      <w:r>
        <w:rPr>
          <w:sz w:val="24"/>
        </w:rPr>
        <w:t>Have not used academic reassessment due to leave of absence before at </w:t>
      </w:r>
      <w:r>
        <w:rPr>
          <w:sz w:val="24"/>
        </w:rPr>
        <w:t>the university of Akron; and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74" w:val="left" w:leader="none"/>
        </w:tabs>
        <w:spacing w:line="230" w:lineRule="auto" w:before="0" w:after="0"/>
        <w:ind w:left="1253" w:right="118" w:hanging="567"/>
        <w:jc w:val="both"/>
        <w:rPr>
          <w:sz w:val="24"/>
        </w:rPr>
      </w:pPr>
      <w:r>
        <w:rPr>
          <w:sz w:val="24"/>
        </w:rPr>
        <w:t>Submit a written request for academic reassessment to the student's </w:t>
      </w:r>
      <w:r>
        <w:rPr>
          <w:sz w:val="24"/>
        </w:rPr>
        <w:t>college dean's office.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" w:after="0"/>
        <w:ind w:left="499" w:right="0" w:hanging="380"/>
        <w:jc w:val="left"/>
        <w:rPr>
          <w:sz w:val="24"/>
        </w:rPr>
      </w:pPr>
      <w:r>
        <w:rPr>
          <w:sz w:val="24"/>
        </w:rPr>
        <w:t>To be eligible for academic reassessment due to change of major, a student </w:t>
      </w:r>
      <w:r>
        <w:rPr>
          <w:spacing w:val="-2"/>
          <w:sz w:val="24"/>
        </w:rPr>
        <w:t>shall: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106" w:val="left" w:leader="none"/>
        </w:tabs>
        <w:spacing w:line="230" w:lineRule="auto" w:before="0" w:after="0"/>
        <w:ind w:left="1253" w:right="119" w:hanging="567"/>
        <w:jc w:val="both"/>
        <w:rPr>
          <w:sz w:val="24"/>
        </w:rPr>
      </w:pPr>
      <w:r>
        <w:rPr>
          <w:sz w:val="24"/>
        </w:rPr>
        <w:t>Have changed major during the first sixty credit hours attempted at </w:t>
      </w:r>
      <w:r>
        <w:rPr>
          <w:sz w:val="24"/>
        </w:rPr>
        <w:t>the university of Akron; and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117" w:val="left" w:leader="none"/>
        </w:tabs>
        <w:spacing w:line="230" w:lineRule="auto" w:before="0" w:after="0"/>
        <w:ind w:left="1253" w:right="114" w:hanging="567"/>
        <w:jc w:val="both"/>
        <w:rPr>
          <w:sz w:val="24"/>
        </w:rPr>
      </w:pPr>
      <w:r>
        <w:rPr>
          <w:sz w:val="24"/>
        </w:rPr>
        <w:t>Have</w:t>
      </w:r>
      <w:r>
        <w:rPr>
          <w:spacing w:val="40"/>
          <w:sz w:val="24"/>
        </w:rPr>
        <w:t> </w:t>
      </w:r>
      <w:r>
        <w:rPr>
          <w:sz w:val="24"/>
        </w:rPr>
        <w:t>maintained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grade</w:t>
      </w:r>
      <w:r>
        <w:rPr>
          <w:spacing w:val="40"/>
          <w:sz w:val="24"/>
        </w:rPr>
        <w:t> </w:t>
      </w:r>
      <w:r>
        <w:rPr>
          <w:sz w:val="24"/>
        </w:rPr>
        <w:t>point</w:t>
      </w:r>
      <w:r>
        <w:rPr>
          <w:spacing w:val="40"/>
          <w:sz w:val="24"/>
        </w:rPr>
        <w:t> </w:t>
      </w:r>
      <w:r>
        <w:rPr>
          <w:sz w:val="24"/>
        </w:rPr>
        <w:t>average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2.50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40"/>
          <w:sz w:val="24"/>
        </w:rPr>
        <w:t> </w:t>
      </w:r>
      <w:r>
        <w:rPr>
          <w:sz w:val="24"/>
        </w:rPr>
        <w:t>higher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first twenty-four letter-graded ("A" through "F") hours attempted subsequent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the student's change of major; and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69" w:val="left" w:leader="none"/>
        </w:tabs>
        <w:spacing w:line="230" w:lineRule="auto" w:before="0" w:after="0"/>
        <w:ind w:left="1253" w:right="118" w:hanging="567"/>
        <w:jc w:val="both"/>
        <w:rPr>
          <w:sz w:val="24"/>
        </w:rPr>
      </w:pPr>
      <w:r>
        <w:rPr>
          <w:sz w:val="24"/>
        </w:rPr>
        <w:t>Have not used academic reassessment due to change of major before at </w:t>
      </w:r>
      <w:r>
        <w:rPr>
          <w:sz w:val="24"/>
        </w:rPr>
        <w:t>the university of Akron; and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1" w:after="0"/>
        <w:ind w:left="1026" w:right="0" w:hanging="341"/>
        <w:jc w:val="left"/>
        <w:rPr>
          <w:sz w:val="24"/>
        </w:rPr>
      </w:pPr>
      <w:r>
        <w:rPr>
          <w:sz w:val="24"/>
        </w:rPr>
        <w:t>Submit a written request to the student's college dean’s </w:t>
      </w:r>
      <w:r>
        <w:rPr>
          <w:spacing w:val="-2"/>
          <w:sz w:val="24"/>
        </w:rPr>
        <w:t>office.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30" w:lineRule="auto" w:before="0" w:after="0"/>
        <w:ind w:left="686" w:right="119" w:hanging="567"/>
        <w:jc w:val="left"/>
        <w:rPr>
          <w:sz w:val="24"/>
        </w:rPr>
      </w:pPr>
      <w:r>
        <w:rPr>
          <w:sz w:val="24"/>
        </w:rPr>
        <w:t>To be eligible for academic reassessment due to discontinuation of courses, a </w:t>
      </w:r>
      <w:r>
        <w:rPr>
          <w:sz w:val="24"/>
        </w:rPr>
        <w:t>student </w:t>
      </w:r>
      <w:r>
        <w:rPr>
          <w:spacing w:val="-2"/>
          <w:sz w:val="24"/>
        </w:rPr>
        <w:t>shall: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59" w:val="left" w:leader="none"/>
        </w:tabs>
        <w:spacing w:line="230" w:lineRule="auto" w:before="0" w:after="0"/>
        <w:ind w:left="1253" w:right="118" w:hanging="567"/>
        <w:jc w:val="both"/>
        <w:rPr>
          <w:sz w:val="24"/>
        </w:rPr>
      </w:pPr>
      <w:r>
        <w:rPr>
          <w:sz w:val="24"/>
        </w:rPr>
        <w:t>Be currently enrolled at the university of Akron beyond the deadline to drop courses; and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30" w:lineRule="auto" w:before="0" w:after="0"/>
        <w:ind w:left="1253" w:right="118" w:hanging="567"/>
        <w:jc w:val="both"/>
        <w:rPr>
          <w:sz w:val="24"/>
        </w:rPr>
      </w:pPr>
      <w:r>
        <w:rPr>
          <w:sz w:val="24"/>
        </w:rPr>
        <w:t>Have completed courses at the university of Akron which are no longer </w:t>
      </w:r>
      <w:r>
        <w:rPr>
          <w:sz w:val="24"/>
        </w:rPr>
        <w:t>offered and have not been offered in the preceding five calendar years, and for </w:t>
      </w:r>
      <w:r>
        <w:rPr>
          <w:sz w:val="24"/>
        </w:rPr>
        <w:t>which there are no related courses applicable to the repeat for change of grade policy; and</w:t>
      </w:r>
    </w:p>
    <w:p>
      <w:pPr>
        <w:spacing w:after="0" w:line="230" w:lineRule="auto"/>
        <w:jc w:val="both"/>
        <w:rPr>
          <w:sz w:val="24"/>
        </w:rPr>
        <w:sectPr>
          <w:headerReference w:type="default" r:id="rId5"/>
          <w:type w:val="continuous"/>
          <w:pgSz w:w="11520" w:h="15840"/>
          <w:pgMar w:header="1414" w:footer="0" w:top="1660" w:bottom="280" w:left="1320" w:right="13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43" w:val="left" w:leader="none"/>
        </w:tabs>
        <w:spacing w:line="230" w:lineRule="auto" w:before="99" w:after="0"/>
        <w:ind w:left="1253" w:right="118" w:hanging="567"/>
        <w:jc w:val="both"/>
        <w:rPr>
          <w:sz w:val="24"/>
        </w:rPr>
      </w:pPr>
      <w:r>
        <w:rPr>
          <w:sz w:val="24"/>
        </w:rPr>
        <w:t>Have not used academic reassessment due to discontinuation of courses before at the university of Akron; and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0" w:after="0"/>
        <w:ind w:left="1026" w:right="0" w:hanging="341"/>
        <w:jc w:val="left"/>
        <w:rPr>
          <w:sz w:val="24"/>
        </w:rPr>
      </w:pPr>
      <w:r>
        <w:rPr>
          <w:sz w:val="24"/>
        </w:rPr>
        <w:t>Submit a written request to the student’s college dean’s </w:t>
      </w:r>
      <w:r>
        <w:rPr>
          <w:spacing w:val="-2"/>
          <w:sz w:val="24"/>
        </w:rPr>
        <w:t>office.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30" w:lineRule="auto" w:before="0" w:after="0"/>
        <w:ind w:left="686" w:right="119" w:hanging="567"/>
        <w:jc w:val="left"/>
        <w:rPr>
          <w:sz w:val="24"/>
        </w:rPr>
      </w:pPr>
      <w:r>
        <w:rPr>
          <w:sz w:val="24"/>
        </w:rPr>
        <w:t>To apply for academic reassessment, the student shall complete the appropriate form in consultation with his/her academic adviser.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30" w:lineRule="auto" w:before="0" w:after="0"/>
        <w:ind w:left="686" w:right="119" w:hanging="567"/>
        <w:jc w:val="left"/>
        <w:rPr>
          <w:sz w:val="24"/>
        </w:rPr>
      </w:pPr>
      <w:r>
        <w:rPr>
          <w:sz w:val="24"/>
        </w:rPr>
        <w:t>The</w:t>
      </w:r>
      <w:r>
        <w:rPr>
          <w:spacing w:val="80"/>
          <w:sz w:val="24"/>
        </w:rPr>
        <w:t> </w:t>
      </w:r>
      <w:r>
        <w:rPr>
          <w:sz w:val="24"/>
        </w:rPr>
        <w:t>office</w:t>
      </w:r>
      <w:r>
        <w:rPr>
          <w:spacing w:val="80"/>
          <w:sz w:val="24"/>
        </w:rPr>
        <w:t> </w:t>
      </w:r>
      <w:r>
        <w:rPr>
          <w:sz w:val="24"/>
        </w:rPr>
        <w:t>of</w:t>
      </w:r>
      <w:r>
        <w:rPr>
          <w:spacing w:val="80"/>
          <w:sz w:val="24"/>
        </w:rPr>
        <w:t> </w:t>
      </w:r>
      <w:r>
        <w:rPr>
          <w:sz w:val="24"/>
        </w:rPr>
        <w:t>the</w:t>
      </w:r>
      <w:r>
        <w:rPr>
          <w:spacing w:val="80"/>
          <w:sz w:val="24"/>
        </w:rPr>
        <w:t> </w:t>
      </w:r>
      <w:r>
        <w:rPr>
          <w:sz w:val="24"/>
        </w:rPr>
        <w:t>university</w:t>
      </w:r>
      <w:r>
        <w:rPr>
          <w:spacing w:val="80"/>
          <w:sz w:val="24"/>
        </w:rPr>
        <w:t> </w:t>
      </w:r>
      <w:r>
        <w:rPr>
          <w:sz w:val="24"/>
        </w:rPr>
        <w:t>registrar</w:t>
      </w:r>
      <w:r>
        <w:rPr>
          <w:spacing w:val="80"/>
          <w:sz w:val="24"/>
        </w:rPr>
        <w:t> </w:t>
      </w:r>
      <w:r>
        <w:rPr>
          <w:sz w:val="24"/>
        </w:rPr>
        <w:t>shall</w:t>
      </w:r>
      <w:r>
        <w:rPr>
          <w:spacing w:val="80"/>
          <w:sz w:val="24"/>
        </w:rPr>
        <w:t> </w:t>
      </w:r>
      <w:r>
        <w:rPr>
          <w:sz w:val="24"/>
        </w:rPr>
        <w:t>confirm</w:t>
      </w:r>
      <w:r>
        <w:rPr>
          <w:spacing w:val="80"/>
          <w:sz w:val="24"/>
        </w:rPr>
        <w:t> </w:t>
      </w:r>
      <w:r>
        <w:rPr>
          <w:sz w:val="24"/>
        </w:rPr>
        <w:t>eligibility</w:t>
      </w:r>
      <w:r>
        <w:rPr>
          <w:spacing w:val="80"/>
          <w:sz w:val="24"/>
        </w:rPr>
        <w:t> </w:t>
      </w:r>
      <w:r>
        <w:rPr>
          <w:sz w:val="24"/>
        </w:rPr>
        <w:t>and</w:t>
      </w:r>
      <w:r>
        <w:rPr>
          <w:spacing w:val="80"/>
          <w:sz w:val="24"/>
        </w:rPr>
        <w:t> </w:t>
      </w:r>
      <w:r>
        <w:rPr>
          <w:sz w:val="24"/>
        </w:rPr>
        <w:t>make</w:t>
      </w:r>
      <w:r>
        <w:rPr>
          <w:spacing w:val="89"/>
          <w:sz w:val="24"/>
        </w:rPr>
        <w:t> </w:t>
      </w:r>
      <w:r>
        <w:rPr>
          <w:sz w:val="24"/>
        </w:rPr>
        <w:t>the adjustments to the student's academic record.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66" w:val="left" w:leader="none"/>
        </w:tabs>
        <w:spacing w:line="230" w:lineRule="auto" w:before="0" w:after="0"/>
        <w:ind w:left="1253" w:right="119" w:hanging="567"/>
        <w:jc w:val="both"/>
        <w:rPr>
          <w:sz w:val="24"/>
        </w:rPr>
      </w:pPr>
      <w:r>
        <w:rPr>
          <w:sz w:val="24"/>
        </w:rPr>
        <w:t>The student begins with a new cumulative grade point average and </w:t>
      </w:r>
      <w:r>
        <w:rPr>
          <w:sz w:val="24"/>
        </w:rPr>
        <w:t>adjusted credit hour totals.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1581" w:val="left" w:leader="none"/>
        </w:tabs>
        <w:spacing w:line="240" w:lineRule="auto" w:before="0" w:after="0"/>
        <w:ind w:left="1580" w:right="0" w:hanging="328"/>
        <w:jc w:val="left"/>
        <w:rPr>
          <w:sz w:val="24"/>
        </w:rPr>
      </w:pPr>
      <w:r>
        <w:rPr>
          <w:sz w:val="24"/>
        </w:rPr>
        <w:t>Credit hours are defined as semester </w:t>
      </w:r>
      <w:r>
        <w:rPr>
          <w:spacing w:val="-2"/>
          <w:sz w:val="24"/>
        </w:rPr>
        <w:t>hours.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1594" w:val="left" w:leader="none"/>
        </w:tabs>
        <w:spacing w:line="240" w:lineRule="auto" w:before="0" w:after="0"/>
        <w:ind w:left="1593" w:right="0" w:hanging="341"/>
        <w:jc w:val="left"/>
        <w:rPr>
          <w:sz w:val="24"/>
        </w:rPr>
      </w:pPr>
      <w:r>
        <w:rPr>
          <w:sz w:val="24"/>
        </w:rPr>
        <w:t>Only grades with a "C-" or lower may be </w:t>
      </w:r>
      <w:r>
        <w:rPr>
          <w:spacing w:val="-2"/>
          <w:sz w:val="24"/>
        </w:rPr>
        <w:t>reassessed.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602" w:val="left" w:leader="none"/>
        </w:tabs>
        <w:spacing w:line="230" w:lineRule="auto" w:before="1" w:after="0"/>
        <w:ind w:left="1820" w:right="119" w:hanging="567"/>
        <w:jc w:val="both"/>
        <w:rPr>
          <w:sz w:val="24"/>
        </w:rPr>
      </w:pPr>
      <w:r>
        <w:rPr>
          <w:sz w:val="24"/>
        </w:rPr>
        <w:t>The student, in consultation with his/her academic adviser, shall </w:t>
      </w:r>
      <w:r>
        <w:rPr>
          <w:sz w:val="24"/>
        </w:rPr>
        <w:t>identify the courses to be reassessed.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625" w:val="left" w:leader="none"/>
        </w:tabs>
        <w:spacing w:line="230" w:lineRule="auto" w:before="0" w:after="0"/>
        <w:ind w:left="1820" w:right="118" w:hanging="567"/>
        <w:jc w:val="both"/>
        <w:rPr>
          <w:sz w:val="24"/>
        </w:rPr>
      </w:pPr>
      <w:r>
        <w:rPr>
          <w:sz w:val="24"/>
        </w:rPr>
        <w:t>For reassessment due to leave of absence, grades to be reassessed shall come from the time period prior to the student's reenrollment </w:t>
      </w:r>
      <w:r>
        <w:rPr>
          <w:sz w:val="24"/>
        </w:rPr>
        <w:t>following the two-year absence.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615" w:val="left" w:leader="none"/>
        </w:tabs>
        <w:spacing w:line="230" w:lineRule="auto" w:before="0" w:after="0"/>
        <w:ind w:left="1820" w:right="118" w:hanging="567"/>
        <w:jc w:val="both"/>
        <w:rPr>
          <w:sz w:val="24"/>
        </w:rPr>
      </w:pPr>
      <w:r>
        <w:rPr>
          <w:sz w:val="24"/>
        </w:rPr>
        <w:t>For reassessment due to change of major, grades to be reassessed shall come from the time period prior to the student's change of major.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230" w:lineRule="auto" w:before="1" w:after="0"/>
        <w:ind w:left="1253" w:right="118" w:hanging="567"/>
        <w:jc w:val="both"/>
        <w:rPr>
          <w:sz w:val="24"/>
        </w:rPr>
      </w:pPr>
      <w:r>
        <w:rPr>
          <w:sz w:val="24"/>
        </w:rPr>
        <w:t>Grades earned for the courses that are reassessed at the university of Akron </w:t>
      </w:r>
      <w:r>
        <w:rPr>
          <w:sz w:val="24"/>
        </w:rPr>
        <w:t>are excluded from the calculation of the cumulative "GPA," but will remain on the student's official transcript.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47" w:val="left" w:leader="none"/>
        </w:tabs>
        <w:spacing w:line="230" w:lineRule="auto" w:before="0" w:after="0"/>
        <w:ind w:left="1253" w:right="118" w:hanging="567"/>
        <w:jc w:val="both"/>
        <w:rPr>
          <w:sz w:val="24"/>
        </w:rPr>
      </w:pPr>
      <w:r>
        <w:rPr>
          <w:sz w:val="24"/>
        </w:rPr>
        <w:t>Credit hours earned for courses at the university of Akron during the previous enrollment with a grade of "C" or better, including "CR," are retained.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81" w:val="left" w:leader="none"/>
        </w:tabs>
        <w:spacing w:line="230" w:lineRule="auto" w:before="0" w:after="0"/>
        <w:ind w:left="1253" w:right="116" w:hanging="567"/>
        <w:jc w:val="both"/>
        <w:rPr>
          <w:sz w:val="24"/>
        </w:rPr>
      </w:pPr>
      <w:r>
        <w:rPr>
          <w:sz w:val="24"/>
        </w:rPr>
        <w:t>For reassessment due to leave of absence, credit hours from all reassessed courses taken during the previous enrollment at the university of Akron with</w:t>
      </w:r>
      <w:r>
        <w:rPr>
          <w:spacing w:val="40"/>
          <w:sz w:val="24"/>
        </w:rPr>
        <w:t> </w:t>
      </w:r>
      <w:r>
        <w:rPr>
          <w:sz w:val="24"/>
        </w:rPr>
        <w:t>a grade of "C-" or lower are removed from the calculation of the </w:t>
      </w:r>
      <w:r>
        <w:rPr>
          <w:sz w:val="24"/>
        </w:rPr>
        <w:t>cumulative "GPA" (although the grades are retained on the academic transcript with </w:t>
      </w:r>
      <w:r>
        <w:rPr>
          <w:sz w:val="24"/>
        </w:rPr>
        <w:t>the notation "academic reassessment policy").</w:t>
      </w:r>
    </w:p>
    <w:p>
      <w:pPr>
        <w:spacing w:after="0" w:line="230" w:lineRule="auto"/>
        <w:jc w:val="both"/>
        <w:rPr>
          <w:sz w:val="24"/>
        </w:rPr>
        <w:sectPr>
          <w:headerReference w:type="default" r:id="rId6"/>
          <w:pgSz w:w="11520" w:h="15840"/>
          <w:pgMar w:header="1414" w:footer="0" w:top="1660" w:bottom="280" w:left="1320" w:right="13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28" w:val="left" w:leader="none"/>
        </w:tabs>
        <w:spacing w:line="230" w:lineRule="auto" w:before="99" w:after="0"/>
        <w:ind w:left="1253" w:right="116" w:hanging="567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reassessment</w:t>
      </w:r>
      <w:r>
        <w:rPr>
          <w:spacing w:val="-3"/>
          <w:sz w:val="24"/>
        </w:rPr>
        <w:t> </w:t>
      </w:r>
      <w:r>
        <w:rPr>
          <w:sz w:val="24"/>
        </w:rPr>
        <w:t>due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major,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3"/>
          <w:sz w:val="24"/>
        </w:rPr>
        <w:t> </w:t>
      </w:r>
      <w:r>
        <w:rPr>
          <w:sz w:val="24"/>
        </w:rPr>
        <w:t>courses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reassessed. Credit hours from all reassessed courses taken prior to the change of major at the university of Akron with a grade of "C-" or lower are removed from the calculation of the cumulative "GPA" (although the grades are retained on the academic transcript with the notation "academic reassessment policy").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097" w:val="left" w:leader="none"/>
        </w:tabs>
        <w:spacing w:line="230" w:lineRule="auto" w:before="0" w:after="0"/>
        <w:ind w:left="1253" w:right="116" w:hanging="567"/>
        <w:jc w:val="both"/>
        <w:rPr>
          <w:sz w:val="24"/>
        </w:rPr>
      </w:pPr>
      <w:r>
        <w:rPr>
          <w:sz w:val="24"/>
        </w:rPr>
        <w:t>For reassessment due to discontinuation of courses, credit hours from all reassessed courses with a grade of "C-" or lower are removed from the calculation of the cumulative "GPA" (although the grades are retained on the academic transcript with the notation "academic reassessment policy").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30" w:lineRule="auto" w:before="0" w:after="0"/>
        <w:ind w:left="686" w:right="118" w:hanging="567"/>
        <w:jc w:val="left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office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university</w:t>
      </w:r>
      <w:r>
        <w:rPr>
          <w:spacing w:val="40"/>
          <w:sz w:val="24"/>
        </w:rPr>
        <w:t> </w:t>
      </w:r>
      <w:r>
        <w:rPr>
          <w:sz w:val="24"/>
        </w:rPr>
        <w:t>registrar</w:t>
      </w:r>
      <w:r>
        <w:rPr>
          <w:spacing w:val="40"/>
          <w:sz w:val="24"/>
        </w:rPr>
        <w:t> </w:t>
      </w:r>
      <w:r>
        <w:rPr>
          <w:sz w:val="24"/>
        </w:rPr>
        <w:t>will</w:t>
      </w:r>
      <w:r>
        <w:rPr>
          <w:spacing w:val="40"/>
          <w:sz w:val="24"/>
        </w:rPr>
        <w:t> </w:t>
      </w:r>
      <w:r>
        <w:rPr>
          <w:sz w:val="24"/>
        </w:rPr>
        <w:t>apply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following</w:t>
      </w:r>
      <w:r>
        <w:rPr>
          <w:spacing w:val="40"/>
          <w:sz w:val="24"/>
        </w:rPr>
        <w:t> </w:t>
      </w:r>
      <w:r>
        <w:rPr>
          <w:sz w:val="24"/>
        </w:rPr>
        <w:t>provisions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the academic reassessment policy.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30" w:lineRule="auto" w:before="1" w:after="0"/>
        <w:ind w:left="1253" w:right="114" w:hanging="567"/>
        <w:jc w:val="both"/>
        <w:rPr>
          <w:sz w:val="24"/>
        </w:rPr>
      </w:pPr>
      <w:r>
        <w:rPr>
          <w:sz w:val="24"/>
        </w:rPr>
        <w:t>When counting the first twenty-four credits attempted, if the </w:t>
      </w:r>
      <w:r>
        <w:rPr>
          <w:sz w:val="24"/>
        </w:rPr>
        <w:t>twenty-fourth credit is part of other credits earned during a semester, the entire number of credits earned for that semester will be calculated into the </w:t>
      </w:r>
      <w:r>
        <w:rPr>
          <w:sz w:val="24"/>
        </w:rPr>
        <w:t>grade-point </w:t>
      </w:r>
      <w:r>
        <w:rPr>
          <w:spacing w:val="-2"/>
          <w:sz w:val="24"/>
        </w:rPr>
        <w:t>average.</w:t>
      </w: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047" w:val="left" w:leader="none"/>
        </w:tabs>
        <w:spacing w:line="230" w:lineRule="auto" w:before="0" w:after="0"/>
        <w:ind w:left="1253" w:right="119" w:hanging="567"/>
        <w:jc w:val="both"/>
        <w:rPr>
          <w:sz w:val="24"/>
        </w:rPr>
      </w:pPr>
      <w:r>
        <w:rPr>
          <w:sz w:val="24"/>
        </w:rPr>
        <w:t>An undergraduate student may utilize each academic reassessment policy </w:t>
      </w:r>
      <w:r>
        <w:rPr>
          <w:sz w:val="24"/>
        </w:rPr>
        <w:t>only one time in his/her career at the university of Akron.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30" w:lineRule="auto" w:before="0" w:after="0"/>
        <w:ind w:left="1253" w:right="118" w:hanging="567"/>
        <w:jc w:val="both"/>
        <w:rPr>
          <w:sz w:val="24"/>
        </w:rPr>
      </w:pPr>
      <w:r>
        <w:rPr>
          <w:sz w:val="24"/>
        </w:rPr>
        <w:t>This policy applies to undergraduate course work taken at the university </w:t>
      </w:r>
      <w:r>
        <w:rPr>
          <w:sz w:val="24"/>
        </w:rPr>
        <w:t>of Akron and only for undergraduate students earning a first </w:t>
      </w:r>
      <w:r>
        <w:rPr>
          <w:sz w:val="24"/>
        </w:rPr>
        <w:t>undergraduate degree. (The graduate school has adopted its own academic </w:t>
      </w:r>
      <w:r>
        <w:rPr>
          <w:sz w:val="24"/>
        </w:rPr>
        <w:t>reassessment policy, paragraph (E) of rule 3359-60-03.4 of the Administrative Code.)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41" w:val="left" w:leader="none"/>
        </w:tabs>
        <w:spacing w:line="230" w:lineRule="auto" w:before="0" w:after="0"/>
        <w:ind w:left="1253" w:right="116" w:hanging="567"/>
        <w:jc w:val="both"/>
        <w:rPr>
          <w:sz w:val="24"/>
        </w:rPr>
      </w:pPr>
      <w:r>
        <w:rPr>
          <w:sz w:val="24"/>
        </w:rPr>
        <w:t>Any academic probations, suspensions or dismissals from reassessed </w:t>
      </w:r>
      <w:r>
        <w:rPr>
          <w:sz w:val="24"/>
        </w:rPr>
        <w:t>semesters shall not be forgiven. They will count when the probation-dismissal policy </w:t>
      </w:r>
      <w:r>
        <w:rPr>
          <w:sz w:val="24"/>
        </w:rPr>
        <w:t>is applied to the student's record after readmission.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30" w:lineRule="auto" w:before="0" w:after="0"/>
        <w:ind w:left="1253" w:right="118" w:hanging="567"/>
        <w:jc w:val="both"/>
        <w:rPr>
          <w:sz w:val="24"/>
        </w:rPr>
      </w:pPr>
      <w:r>
        <w:rPr>
          <w:sz w:val="24"/>
        </w:rPr>
        <w:t>A student may seek an exception to this policy through an appeal to the </w:t>
      </w:r>
      <w:r>
        <w:rPr>
          <w:sz w:val="24"/>
        </w:rPr>
        <w:t>senior vice president and provost and chief operating officer whose decision will </w:t>
      </w:r>
      <w:r>
        <w:rPr>
          <w:sz w:val="24"/>
        </w:rPr>
        <w:t>be </w:t>
      </w:r>
      <w:r>
        <w:rPr>
          <w:spacing w:val="-2"/>
          <w:sz w:val="24"/>
        </w:rPr>
        <w:t>final.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0" w:after="0"/>
        <w:ind w:left="513" w:right="0" w:hanging="394"/>
        <w:jc w:val="left"/>
        <w:rPr>
          <w:sz w:val="24"/>
        </w:rPr>
      </w:pPr>
      <w:r>
        <w:rPr>
          <w:sz w:val="24"/>
        </w:rPr>
        <w:t>Academic reassessment: </w:t>
      </w:r>
      <w:r>
        <w:rPr>
          <w:spacing w:val="-2"/>
          <w:sz w:val="24"/>
        </w:rPr>
        <w:t>graduate.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31" w:val="left" w:leader="none"/>
        </w:tabs>
        <w:spacing w:line="230" w:lineRule="auto" w:before="0" w:after="0"/>
        <w:ind w:left="1253" w:right="119" w:hanging="567"/>
        <w:jc w:val="both"/>
        <w:rPr>
          <w:sz w:val="24"/>
        </w:rPr>
      </w:pPr>
      <w:r>
        <w:rPr>
          <w:sz w:val="24"/>
        </w:rPr>
        <w:t>A student who meets all the criteria described in this paragraph may petition </w:t>
      </w:r>
      <w:r>
        <w:rPr>
          <w:sz w:val="24"/>
        </w:rPr>
        <w:t>the vice president for research and dean of the graduate school to remove from her/his</w:t>
      </w:r>
      <w:r>
        <w:rPr>
          <w:spacing w:val="-1"/>
          <w:sz w:val="24"/>
        </w:rPr>
        <w:t> </w:t>
      </w:r>
      <w:r>
        <w:rPr>
          <w:sz w:val="24"/>
        </w:rPr>
        <w:t>graduate</w:t>
      </w:r>
      <w:r>
        <w:rPr>
          <w:spacing w:val="-1"/>
          <w:sz w:val="24"/>
        </w:rPr>
        <w:t> </w:t>
      </w:r>
      <w:r>
        <w:rPr>
          <w:sz w:val="24"/>
        </w:rPr>
        <w:t>cumulative</w:t>
      </w:r>
      <w:r>
        <w:rPr>
          <w:spacing w:val="-1"/>
          <w:sz w:val="24"/>
        </w:rPr>
        <w:t> </w:t>
      </w:r>
      <w:r>
        <w:rPr>
          <w:sz w:val="24"/>
        </w:rPr>
        <w:t>grade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average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grades</w:t>
      </w:r>
      <w:r>
        <w:rPr>
          <w:spacing w:val="-1"/>
          <w:sz w:val="24"/>
        </w:rPr>
        <w:t> </w:t>
      </w:r>
      <w:r>
        <w:rPr>
          <w:sz w:val="24"/>
        </w:rPr>
        <w:t>earned</w:t>
      </w:r>
      <w:r>
        <w:rPr>
          <w:spacing w:val="-1"/>
          <w:sz w:val="24"/>
        </w:rPr>
        <w:t> </w:t>
      </w:r>
      <w:r>
        <w:rPr>
          <w:sz w:val="24"/>
        </w:rPr>
        <w:t>under the student's prior enrollment at the university of Akron.</w:t>
      </w:r>
    </w:p>
    <w:p>
      <w:pPr>
        <w:spacing w:after="0" w:line="230" w:lineRule="auto"/>
        <w:jc w:val="both"/>
        <w:rPr>
          <w:sz w:val="24"/>
        </w:rPr>
        <w:sectPr>
          <w:pgSz w:w="11520" w:h="15840"/>
          <w:pgMar w:header="1414" w:footer="0" w:top="1660" w:bottom="28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1"/>
        </w:numPr>
        <w:tabs>
          <w:tab w:pos="1581" w:val="left" w:leader="none"/>
        </w:tabs>
        <w:spacing w:line="240" w:lineRule="auto" w:before="90" w:after="0"/>
        <w:ind w:left="1580" w:right="0" w:hanging="328"/>
        <w:jc w:val="left"/>
        <w:rPr>
          <w:sz w:val="24"/>
        </w:rPr>
      </w:pPr>
      <w:r>
        <w:rPr>
          <w:sz w:val="24"/>
        </w:rPr>
        <w:t>Degree-seeking graduate </w:t>
      </w:r>
      <w:r>
        <w:rPr>
          <w:spacing w:val="-2"/>
          <w:sz w:val="24"/>
        </w:rPr>
        <w:t>student,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1594" w:val="left" w:leader="none"/>
        </w:tabs>
        <w:spacing w:line="240" w:lineRule="auto" w:before="0" w:after="0"/>
        <w:ind w:left="1593" w:right="0" w:hanging="341"/>
        <w:jc w:val="left"/>
        <w:rPr>
          <w:sz w:val="24"/>
        </w:rPr>
      </w:pPr>
      <w:r>
        <w:rPr>
          <w:sz w:val="24"/>
        </w:rPr>
        <w:t>Previous graduate enrollment at the university of </w:t>
      </w:r>
      <w:r>
        <w:rPr>
          <w:spacing w:val="-2"/>
          <w:sz w:val="24"/>
        </w:rPr>
        <w:t>Akron,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623" w:val="left" w:leader="none"/>
        </w:tabs>
        <w:spacing w:line="230" w:lineRule="auto" w:before="0" w:after="0"/>
        <w:ind w:left="1820" w:right="119" w:hanging="567"/>
        <w:jc w:val="both"/>
        <w:rPr>
          <w:sz w:val="24"/>
        </w:rPr>
      </w:pPr>
      <w:r>
        <w:rPr>
          <w:sz w:val="24"/>
        </w:rPr>
        <w:t>Not enrolled at the university of Akron for at least five years prior to current enrollment, and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611" w:val="left" w:leader="none"/>
        </w:tabs>
        <w:spacing w:line="230" w:lineRule="auto" w:before="0" w:after="0"/>
        <w:ind w:left="1820" w:right="119" w:hanging="567"/>
        <w:jc w:val="both"/>
        <w:rPr>
          <w:sz w:val="24"/>
        </w:rPr>
      </w:pPr>
      <w:r>
        <w:rPr>
          <w:sz w:val="24"/>
        </w:rPr>
        <w:t>Maintain a current graduate grade point average of at least 3.00 or </w:t>
      </w:r>
      <w:r>
        <w:rPr>
          <w:sz w:val="24"/>
        </w:rPr>
        <w:t>better for the first fifteen hours of re-enrollment credit.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30" w:lineRule="auto" w:before="1" w:after="0"/>
        <w:ind w:left="1253" w:right="119" w:hanging="567"/>
        <w:jc w:val="both"/>
        <w:rPr>
          <w:sz w:val="24"/>
        </w:rPr>
      </w:pPr>
      <w:r>
        <w:rPr>
          <w:sz w:val="24"/>
        </w:rPr>
        <w:t>If the student's petition is granted, the following will apply to the reassessment </w:t>
      </w:r>
      <w:r>
        <w:rPr>
          <w:spacing w:val="-2"/>
          <w:sz w:val="24"/>
        </w:rPr>
        <w:t>policy: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1581" w:val="left" w:leader="none"/>
        </w:tabs>
        <w:spacing w:line="240" w:lineRule="auto" w:before="0" w:after="0"/>
        <w:ind w:left="1580" w:right="0" w:hanging="328"/>
        <w:jc w:val="left"/>
        <w:rPr>
          <w:sz w:val="24"/>
        </w:rPr>
      </w:pPr>
      <w:r>
        <w:rPr>
          <w:sz w:val="24"/>
        </w:rPr>
        <w:t>This policy only applies to the student's graduate grade point </w:t>
      </w:r>
      <w:r>
        <w:rPr>
          <w:spacing w:val="-2"/>
          <w:sz w:val="24"/>
        </w:rPr>
        <w:t>average.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658" w:val="left" w:leader="none"/>
        </w:tabs>
        <w:spacing w:line="230" w:lineRule="auto" w:before="0" w:after="0"/>
        <w:ind w:left="1820" w:right="118" w:hanging="567"/>
        <w:jc w:val="both"/>
        <w:rPr>
          <w:sz w:val="24"/>
        </w:rPr>
      </w:pPr>
      <w:r>
        <w:rPr>
          <w:sz w:val="24"/>
        </w:rPr>
        <w:t>All university of Akron grades will remain on the student's official, permanent academic record (transcript); this process will affect </w:t>
      </w:r>
      <w:r>
        <w:rPr>
          <w:sz w:val="24"/>
        </w:rPr>
        <w:t>the cumulative grade point average only. It will not </w:t>
      </w:r>
      <w:r>
        <w:rPr>
          <w:sz w:val="24"/>
        </w:rPr>
        <w:t>remove evidence/documentation of the student's overall academic history at </w:t>
      </w:r>
      <w:r>
        <w:rPr>
          <w:sz w:val="24"/>
        </w:rPr>
        <w:t>the </w:t>
      </w:r>
      <w:r>
        <w:rPr>
          <w:spacing w:val="-2"/>
          <w:sz w:val="24"/>
        </w:rPr>
        <w:t>university.</w:t>
      </w: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1643" w:val="left" w:leader="none"/>
        </w:tabs>
        <w:spacing w:line="230" w:lineRule="auto" w:before="0" w:after="0"/>
        <w:ind w:left="1820" w:right="118" w:hanging="567"/>
        <w:jc w:val="both"/>
        <w:rPr>
          <w:sz w:val="24"/>
        </w:rPr>
      </w:pPr>
      <w:r>
        <w:rPr>
          <w:sz w:val="24"/>
        </w:rPr>
        <w:t>No grades/credits from the student's prior graduate enrollment at </w:t>
      </w:r>
      <w:r>
        <w:rPr>
          <w:sz w:val="24"/>
        </w:rPr>
        <w:t>the university may be counted toward the subsequent degree </w:t>
      </w:r>
      <w:r>
        <w:rPr>
          <w:sz w:val="24"/>
        </w:rPr>
        <w:t>program requirements. Degree requirements may only be met by </w:t>
      </w:r>
      <w:r>
        <w:rPr>
          <w:sz w:val="24"/>
        </w:rPr>
        <w:t>courses included in the calculation of the student's cumulative graduate </w:t>
      </w:r>
      <w:r>
        <w:rPr>
          <w:sz w:val="24"/>
        </w:rPr>
        <w:t>grade point average at the university of Akron. Thus, the student </w:t>
      </w:r>
      <w:r>
        <w:rPr>
          <w:sz w:val="24"/>
        </w:rPr>
        <w:t>who successfully petitions for cumulative graduate grade point average recalculation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automatically</w:t>
      </w:r>
      <w:r>
        <w:rPr>
          <w:spacing w:val="-3"/>
          <w:sz w:val="24"/>
        </w:rPr>
        <w:t> </w:t>
      </w:r>
      <w:r>
        <w:rPr>
          <w:sz w:val="24"/>
        </w:rPr>
        <w:t>forfeits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any of the excluded course work toward the current degree requirements.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230" w:lineRule="auto" w:before="0" w:after="0"/>
        <w:ind w:left="1253" w:right="118" w:hanging="567"/>
        <w:jc w:val="both"/>
        <w:rPr>
          <w:sz w:val="24"/>
        </w:rPr>
      </w:pPr>
      <w:r>
        <w:rPr>
          <w:sz w:val="24"/>
        </w:rPr>
        <w:t>A student may exercise this graduate reassessment option only once, </w:t>
      </w:r>
      <w:r>
        <w:rPr>
          <w:sz w:val="24"/>
        </w:rPr>
        <w:t>regardless of the number of times the student enters/attends a graduate degree program</w:t>
      </w:r>
      <w:r>
        <w:rPr>
          <w:spacing w:val="40"/>
          <w:sz w:val="24"/>
        </w:rPr>
        <w:t> </w:t>
      </w:r>
      <w:r>
        <w:rPr>
          <w:sz w:val="24"/>
        </w:rPr>
        <w:t>at the university of Akron.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30" w:lineRule="auto" w:before="0" w:after="0"/>
        <w:ind w:left="686" w:right="118" w:hanging="567"/>
        <w:jc w:val="left"/>
        <w:rPr>
          <w:sz w:val="24"/>
        </w:rPr>
      </w:pPr>
      <w:r>
        <w:rPr>
          <w:sz w:val="24"/>
        </w:rPr>
        <w:t>Discipline.</w:t>
      </w:r>
      <w:r>
        <w:rPr>
          <w:spacing w:val="80"/>
          <w:sz w:val="24"/>
        </w:rPr>
        <w:t> </w:t>
      </w:r>
      <w:r>
        <w:rPr>
          <w:sz w:val="24"/>
        </w:rPr>
        <w:t>Continuation</w:t>
      </w:r>
      <w:r>
        <w:rPr>
          <w:spacing w:val="80"/>
          <w:sz w:val="24"/>
        </w:rPr>
        <w:t> </w:t>
      </w:r>
      <w:r>
        <w:rPr>
          <w:sz w:val="24"/>
        </w:rPr>
        <w:t>as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80"/>
          <w:sz w:val="24"/>
        </w:rPr>
        <w:t> </w:t>
      </w:r>
      <w:r>
        <w:rPr>
          <w:sz w:val="24"/>
        </w:rPr>
        <w:t>student</w:t>
      </w:r>
      <w:r>
        <w:rPr>
          <w:spacing w:val="80"/>
          <w:sz w:val="24"/>
        </w:rPr>
        <w:t> </w:t>
      </w:r>
      <w:r>
        <w:rPr>
          <w:sz w:val="24"/>
        </w:rPr>
        <w:t>of</w:t>
      </w:r>
      <w:r>
        <w:rPr>
          <w:spacing w:val="80"/>
          <w:sz w:val="24"/>
        </w:rPr>
        <w:t> </w:t>
      </w:r>
      <w:r>
        <w:rPr>
          <w:sz w:val="24"/>
        </w:rPr>
        <w:t>the</w:t>
      </w:r>
      <w:r>
        <w:rPr>
          <w:spacing w:val="80"/>
          <w:sz w:val="24"/>
        </w:rPr>
        <w:t> </w:t>
      </w:r>
      <w:r>
        <w:rPr>
          <w:sz w:val="24"/>
        </w:rPr>
        <w:t>university</w:t>
      </w:r>
      <w:r>
        <w:rPr>
          <w:spacing w:val="80"/>
          <w:sz w:val="24"/>
        </w:rPr>
        <w:t> </w:t>
      </w:r>
      <w:r>
        <w:rPr>
          <w:sz w:val="24"/>
        </w:rPr>
        <w:t>is</w:t>
      </w:r>
      <w:r>
        <w:rPr>
          <w:spacing w:val="80"/>
          <w:sz w:val="24"/>
        </w:rPr>
        <w:t> </w:t>
      </w:r>
      <w:r>
        <w:rPr>
          <w:sz w:val="24"/>
        </w:rPr>
        <w:t>dependent</w:t>
      </w:r>
      <w:r>
        <w:rPr>
          <w:spacing w:val="80"/>
          <w:sz w:val="24"/>
        </w:rPr>
        <w:t> </w:t>
      </w:r>
      <w:r>
        <w:rPr>
          <w:sz w:val="24"/>
        </w:rPr>
        <w:t>on</w:t>
      </w:r>
      <w:r>
        <w:rPr>
          <w:spacing w:val="92"/>
          <w:sz w:val="24"/>
        </w:rPr>
        <w:t> </w:t>
      </w:r>
      <w:r>
        <w:rPr>
          <w:sz w:val="24"/>
        </w:rPr>
        <w:t>the maintenance of satisfactory grades and conformity to the rules of the institution.</w:t>
      </w:r>
    </w:p>
    <w:p>
      <w:pPr>
        <w:spacing w:after="0" w:line="230" w:lineRule="auto"/>
        <w:jc w:val="left"/>
        <w:rPr>
          <w:sz w:val="24"/>
        </w:rPr>
        <w:sectPr>
          <w:pgSz w:w="11520" w:h="15840"/>
          <w:pgMar w:header="1414" w:footer="0" w:top="1660" w:bottom="280" w:left="1320" w:right="1320"/>
        </w:sectPr>
      </w:pPr>
    </w:p>
    <w:p>
      <w:pPr>
        <w:pStyle w:val="BodyText"/>
        <w:tabs>
          <w:tab w:pos="2995" w:val="left" w:leader="none"/>
        </w:tabs>
        <w:spacing w:before="73"/>
        <w:ind w:left="115"/>
        <w:rPr>
          <w:rFonts w:ascii="Palatino Linotype"/>
        </w:rPr>
      </w:pPr>
      <w:bookmarkStart w:name="Blank Page" w:id="1"/>
      <w:bookmarkEnd w:id="1"/>
      <w:r>
        <w:rPr/>
      </w:r>
      <w:r>
        <w:rPr>
          <w:rFonts w:ascii="Palatino Linotype"/>
          <w:spacing w:val="-2"/>
        </w:rPr>
        <w:t>Effective:</w:t>
      </w:r>
      <w:r>
        <w:rPr>
          <w:rFonts w:ascii="Palatino Linotype"/>
        </w:rPr>
        <w:tab/>
      </w:r>
      <w:r>
        <w:rPr>
          <w:rFonts w:ascii="Palatino Linotype"/>
          <w:spacing w:val="-2"/>
        </w:rPr>
        <w:t>4/29/2023</w:t>
      </w:r>
    </w:p>
    <w:p>
      <w:pPr>
        <w:pStyle w:val="BodyText"/>
        <w:tabs>
          <w:tab w:pos="2995" w:val="left" w:leader="none"/>
          <w:tab w:pos="6438" w:val="left" w:leader="none"/>
        </w:tabs>
        <w:spacing w:line="306" w:lineRule="exact" w:before="252"/>
        <w:ind w:left="115"/>
        <w:rPr>
          <w:rFonts w:ascii="Palatino Linotype"/>
        </w:rPr>
      </w:pPr>
      <w:r>
        <w:rPr>
          <w:rFonts w:ascii="Palatino Linotype"/>
          <w:spacing w:val="-2"/>
        </w:rPr>
        <w:t>Certification:</w:t>
      </w:r>
      <w:r>
        <w:rPr>
          <w:rFonts w:ascii="Palatino Linotype"/>
        </w:rPr>
        <w:tab/>
      </w:r>
      <w:r>
        <w:rPr>
          <w:rFonts w:ascii="Palatino Linotype"/>
          <w:u w:val="single"/>
        </w:rPr>
        <w:tab/>
      </w:r>
    </w:p>
    <w:p>
      <w:pPr>
        <w:pStyle w:val="BodyText"/>
        <w:spacing w:line="213" w:lineRule="auto" w:before="10"/>
        <w:ind w:left="2995" w:right="3387"/>
        <w:rPr>
          <w:rFonts w:ascii="Palatino Linotype"/>
        </w:rPr>
      </w:pPr>
      <w:r>
        <w:rPr>
          <w:rFonts w:ascii="Palatino Linotype"/>
          <w:w w:val="90"/>
        </w:rPr>
        <w:t>M.</w:t>
      </w:r>
      <w:r>
        <w:rPr>
          <w:rFonts w:ascii="Palatino Linotype"/>
          <w:spacing w:val="-6"/>
          <w:w w:val="90"/>
        </w:rPr>
        <w:t> </w:t>
      </w:r>
      <w:r>
        <w:rPr>
          <w:rFonts w:ascii="Palatino Linotype"/>
          <w:w w:val="90"/>
        </w:rPr>
        <w:t>Celeste</w:t>
      </w:r>
      <w:r>
        <w:rPr>
          <w:rFonts w:ascii="Palatino Linotype"/>
          <w:spacing w:val="-6"/>
          <w:w w:val="90"/>
        </w:rPr>
        <w:t> </w:t>
      </w:r>
      <w:r>
        <w:rPr>
          <w:rFonts w:ascii="Palatino Linotype"/>
          <w:w w:val="90"/>
        </w:rPr>
        <w:t>Cook</w:t>
      </w:r>
      <w:r>
        <w:rPr>
          <w:rFonts w:ascii="Palatino Linotype"/>
          <w:w w:val="90"/>
        </w:rPr>
        <w:t> </w:t>
      </w:r>
      <w:r>
        <w:rPr>
          <w:rFonts w:ascii="Palatino Linotype"/>
          <w:spacing w:val="-2"/>
        </w:rPr>
        <w:t>Secretary</w:t>
      </w:r>
    </w:p>
    <w:p>
      <w:pPr>
        <w:pStyle w:val="BodyText"/>
        <w:spacing w:line="296" w:lineRule="exact"/>
        <w:ind w:left="2995"/>
        <w:rPr>
          <w:rFonts w:ascii="Palatino Linotype"/>
        </w:rPr>
      </w:pPr>
      <w:r>
        <w:rPr>
          <w:rFonts w:ascii="Palatino Linotype"/>
          <w:w w:val="90"/>
        </w:rPr>
        <w:t>Board</w:t>
      </w:r>
      <w:r>
        <w:rPr>
          <w:rFonts w:ascii="Palatino Linotype"/>
          <w:spacing w:val="-2"/>
        </w:rPr>
        <w:t> </w:t>
      </w:r>
      <w:r>
        <w:rPr>
          <w:rFonts w:ascii="Palatino Linotype"/>
          <w:w w:val="90"/>
        </w:rPr>
        <w:t>of</w:t>
      </w:r>
      <w:r>
        <w:rPr>
          <w:rFonts w:ascii="Palatino Linotype"/>
          <w:spacing w:val="-2"/>
        </w:rPr>
        <w:t> </w:t>
      </w:r>
      <w:r>
        <w:rPr>
          <w:rFonts w:ascii="Palatino Linotype"/>
          <w:spacing w:val="-2"/>
          <w:w w:val="90"/>
        </w:rPr>
        <w:t>Trustees</w:t>
      </w:r>
    </w:p>
    <w:p>
      <w:pPr>
        <w:pStyle w:val="BodyText"/>
        <w:tabs>
          <w:tab w:pos="3626" w:val="right" w:leader="none"/>
        </w:tabs>
        <w:spacing w:before="252"/>
        <w:ind w:left="115"/>
        <w:rPr>
          <w:rFonts w:ascii="Palatino Linotype"/>
        </w:rPr>
      </w:pPr>
      <w:r>
        <w:rPr>
          <w:rFonts w:ascii="Palatino Linotype"/>
          <w:w w:val="85"/>
        </w:rPr>
        <w:t>Promulgated</w:t>
      </w:r>
      <w:r>
        <w:rPr>
          <w:rFonts w:ascii="Palatino Linotype"/>
          <w:spacing w:val="49"/>
        </w:rPr>
        <w:t> </w:t>
      </w:r>
      <w:r>
        <w:rPr>
          <w:rFonts w:ascii="Palatino Linotype"/>
          <w:spacing w:val="-2"/>
          <w:w w:val="95"/>
        </w:rPr>
        <w:t>Under:</w:t>
      </w:r>
      <w:r>
        <w:rPr>
          <w:rFonts w:ascii="Palatino Linotype"/>
        </w:rPr>
        <w:tab/>
      </w:r>
      <w:r>
        <w:rPr>
          <w:rFonts w:ascii="Palatino Linotype"/>
          <w:spacing w:val="-2"/>
        </w:rPr>
        <w:t>111.15</w:t>
      </w:r>
    </w:p>
    <w:p>
      <w:pPr>
        <w:pStyle w:val="BodyText"/>
        <w:tabs>
          <w:tab w:pos="2995" w:val="left" w:leader="none"/>
        </w:tabs>
        <w:spacing w:before="253"/>
        <w:ind w:left="115"/>
        <w:rPr>
          <w:rFonts w:ascii="Palatino Linotype"/>
        </w:rPr>
      </w:pPr>
      <w:r>
        <w:rPr>
          <w:rFonts w:ascii="Palatino Linotype"/>
          <w:w w:val="90"/>
        </w:rPr>
        <w:t>Statutory</w:t>
      </w:r>
      <w:r>
        <w:rPr>
          <w:rFonts w:ascii="Palatino Linotype"/>
          <w:spacing w:val="-6"/>
        </w:rPr>
        <w:t> </w:t>
      </w:r>
      <w:r>
        <w:rPr>
          <w:rFonts w:ascii="Palatino Linotype"/>
          <w:spacing w:val="-2"/>
        </w:rPr>
        <w:t>Authority:</w:t>
      </w:r>
      <w:r>
        <w:rPr>
          <w:rFonts w:ascii="Palatino Linotype"/>
        </w:rPr>
        <w:tab/>
      </w:r>
      <w:r>
        <w:rPr>
          <w:rFonts w:ascii="Palatino Linotype"/>
          <w:spacing w:val="-4"/>
        </w:rPr>
        <w:t>3359</w:t>
      </w:r>
    </w:p>
    <w:p>
      <w:pPr>
        <w:pStyle w:val="BodyText"/>
        <w:tabs>
          <w:tab w:pos="2995" w:val="left" w:leader="none"/>
        </w:tabs>
        <w:spacing w:before="252"/>
        <w:ind w:left="115"/>
        <w:rPr>
          <w:rFonts w:ascii="Palatino Linotype"/>
        </w:rPr>
      </w:pPr>
      <w:r>
        <w:rPr>
          <w:rFonts w:ascii="Palatino Linotype"/>
          <w:w w:val="90"/>
        </w:rPr>
        <w:t>Rule</w:t>
      </w:r>
      <w:r>
        <w:rPr>
          <w:rFonts w:ascii="Palatino Linotype"/>
          <w:spacing w:val="-5"/>
          <w:w w:val="90"/>
        </w:rPr>
        <w:t> </w:t>
      </w:r>
      <w:r>
        <w:rPr>
          <w:rFonts w:ascii="Palatino Linotype"/>
          <w:spacing w:val="-2"/>
        </w:rPr>
        <w:t>Amplifies:</w:t>
      </w:r>
      <w:r>
        <w:rPr>
          <w:rFonts w:ascii="Palatino Linotype"/>
        </w:rPr>
        <w:tab/>
      </w:r>
      <w:r>
        <w:rPr>
          <w:rFonts w:ascii="Palatino Linotype"/>
          <w:spacing w:val="-4"/>
        </w:rPr>
        <w:t>3359</w:t>
      </w:r>
    </w:p>
    <w:p>
      <w:pPr>
        <w:pStyle w:val="BodyText"/>
        <w:tabs>
          <w:tab w:pos="2995" w:val="left" w:leader="none"/>
        </w:tabs>
        <w:spacing w:line="306" w:lineRule="exact" w:before="252"/>
        <w:ind w:left="115"/>
        <w:rPr>
          <w:rFonts w:ascii="Palatino Linotype"/>
        </w:rPr>
      </w:pPr>
      <w:r>
        <w:rPr>
          <w:rFonts w:ascii="Palatino Linotype"/>
          <w:w w:val="90"/>
        </w:rPr>
        <w:t>Prior</w:t>
      </w:r>
      <w:r>
        <w:rPr>
          <w:rFonts w:ascii="Palatino Linotype"/>
          <w:spacing w:val="-3"/>
        </w:rPr>
        <w:t> </w:t>
      </w:r>
      <w:r>
        <w:rPr>
          <w:rFonts w:ascii="Palatino Linotype"/>
          <w:w w:val="90"/>
        </w:rPr>
        <w:t>Effective</w:t>
      </w:r>
      <w:r>
        <w:rPr>
          <w:rFonts w:ascii="Palatino Linotype"/>
          <w:spacing w:val="-3"/>
        </w:rPr>
        <w:t> </w:t>
      </w:r>
      <w:r>
        <w:rPr>
          <w:rFonts w:ascii="Palatino Linotype"/>
          <w:spacing w:val="-2"/>
          <w:w w:val="90"/>
        </w:rPr>
        <w:t>Dates:</w:t>
      </w:r>
      <w:r>
        <w:rPr>
          <w:rFonts w:ascii="Palatino Linotype"/>
        </w:rPr>
        <w:tab/>
      </w:r>
      <w:r>
        <w:rPr>
          <w:rFonts w:ascii="Palatino Linotype"/>
          <w:w w:val="95"/>
        </w:rPr>
        <w:t>Prior</w:t>
      </w:r>
      <w:r>
        <w:rPr>
          <w:rFonts w:ascii="Palatino Linotype"/>
          <w:spacing w:val="-1"/>
          <w:w w:val="95"/>
        </w:rPr>
        <w:t> </w:t>
      </w:r>
      <w:r>
        <w:rPr>
          <w:rFonts w:ascii="Palatino Linotype"/>
          <w:w w:val="95"/>
        </w:rPr>
        <w:t>to</w:t>
      </w:r>
      <w:r>
        <w:rPr>
          <w:rFonts w:ascii="Palatino Linotype"/>
          <w:spacing w:val="-1"/>
          <w:w w:val="95"/>
        </w:rPr>
        <w:t> </w:t>
      </w:r>
      <w:r>
        <w:rPr>
          <w:rFonts w:ascii="Palatino Linotype"/>
          <w:w w:val="95"/>
        </w:rPr>
        <w:t>11/04/1977,</w:t>
      </w:r>
      <w:r>
        <w:rPr>
          <w:rFonts w:ascii="Palatino Linotype"/>
          <w:spacing w:val="-1"/>
          <w:w w:val="95"/>
        </w:rPr>
        <w:t> </w:t>
      </w:r>
      <w:r>
        <w:rPr>
          <w:rFonts w:ascii="Palatino Linotype"/>
          <w:w w:val="95"/>
        </w:rPr>
        <w:t>08/30/1979,</w:t>
      </w:r>
      <w:r>
        <w:rPr>
          <w:rFonts w:ascii="Palatino Linotype"/>
          <w:spacing w:val="-1"/>
          <w:w w:val="95"/>
        </w:rPr>
        <w:t> </w:t>
      </w:r>
      <w:r>
        <w:rPr>
          <w:rFonts w:ascii="Palatino Linotype"/>
          <w:spacing w:val="-2"/>
          <w:w w:val="95"/>
        </w:rPr>
        <w:t>01/30/1981,</w:t>
      </w:r>
    </w:p>
    <w:p>
      <w:pPr>
        <w:pStyle w:val="BodyText"/>
        <w:spacing w:line="288" w:lineRule="exact"/>
        <w:ind w:left="2995"/>
        <w:rPr>
          <w:rFonts w:ascii="Palatino Linotype"/>
        </w:rPr>
      </w:pPr>
      <w:r>
        <w:rPr>
          <w:rFonts w:ascii="Palatino Linotype"/>
          <w:spacing w:val="-4"/>
        </w:rPr>
        <w:t>05/15/1982,</w:t>
      </w:r>
      <w:r>
        <w:rPr>
          <w:rFonts w:ascii="Palatino Linotype"/>
          <w:spacing w:val="-9"/>
        </w:rPr>
        <w:t> </w:t>
      </w:r>
      <w:r>
        <w:rPr>
          <w:rFonts w:ascii="Palatino Linotype"/>
          <w:spacing w:val="-4"/>
        </w:rPr>
        <w:t>12/31/1986,</w:t>
      </w:r>
      <w:r>
        <w:rPr>
          <w:rFonts w:ascii="Palatino Linotype"/>
          <w:spacing w:val="-9"/>
        </w:rPr>
        <w:t> </w:t>
      </w:r>
      <w:r>
        <w:rPr>
          <w:rFonts w:ascii="Palatino Linotype"/>
          <w:spacing w:val="-4"/>
        </w:rPr>
        <w:t>11/24/2001,</w:t>
      </w:r>
      <w:r>
        <w:rPr>
          <w:rFonts w:ascii="Palatino Linotype"/>
          <w:spacing w:val="-9"/>
        </w:rPr>
        <w:t> </w:t>
      </w:r>
      <w:r>
        <w:rPr>
          <w:rFonts w:ascii="Palatino Linotype"/>
          <w:spacing w:val="-4"/>
        </w:rPr>
        <w:t>06/30/2003,</w:t>
      </w:r>
    </w:p>
    <w:p>
      <w:pPr>
        <w:pStyle w:val="BodyText"/>
        <w:spacing w:line="288" w:lineRule="exact"/>
        <w:ind w:left="2995"/>
        <w:rPr>
          <w:rFonts w:ascii="Palatino Linotype"/>
        </w:rPr>
      </w:pPr>
      <w:r>
        <w:rPr>
          <w:rFonts w:ascii="Palatino Linotype"/>
          <w:spacing w:val="-4"/>
        </w:rPr>
        <w:t>06/25/2007,</w:t>
      </w:r>
      <w:r>
        <w:rPr>
          <w:rFonts w:ascii="Palatino Linotype"/>
          <w:spacing w:val="-9"/>
        </w:rPr>
        <w:t> </w:t>
      </w:r>
      <w:r>
        <w:rPr>
          <w:rFonts w:ascii="Palatino Linotype"/>
          <w:spacing w:val="-4"/>
        </w:rPr>
        <w:t>05/05/2008,</w:t>
      </w:r>
      <w:r>
        <w:rPr>
          <w:rFonts w:ascii="Palatino Linotype"/>
          <w:spacing w:val="-9"/>
        </w:rPr>
        <w:t> </w:t>
      </w:r>
      <w:r>
        <w:rPr>
          <w:rFonts w:ascii="Palatino Linotype"/>
          <w:spacing w:val="-4"/>
        </w:rPr>
        <w:t>01/31/2015,</w:t>
      </w:r>
      <w:r>
        <w:rPr>
          <w:rFonts w:ascii="Palatino Linotype"/>
          <w:spacing w:val="-9"/>
        </w:rPr>
        <w:t> </w:t>
      </w:r>
      <w:r>
        <w:rPr>
          <w:rFonts w:ascii="Palatino Linotype"/>
          <w:spacing w:val="-4"/>
        </w:rPr>
        <w:t>12/22/2019</w:t>
      </w:r>
    </w:p>
    <w:p>
      <w:pPr>
        <w:pStyle w:val="BodyText"/>
        <w:spacing w:line="306" w:lineRule="exact"/>
        <w:ind w:left="2995"/>
        <w:rPr>
          <w:rFonts w:ascii="Palatino Linotype"/>
        </w:rPr>
      </w:pPr>
      <w:r>
        <w:rPr>
          <w:rFonts w:ascii="Palatino Linotype"/>
          <w:spacing w:val="-2"/>
        </w:rPr>
        <w:t>06/20/2020</w:t>
      </w:r>
    </w:p>
    <w:sectPr>
      <w:headerReference w:type="default" r:id="rId7"/>
      <w:pgSz w:w="11520" w:h="15840"/>
      <w:pgMar w:header="0" w:footer="0" w:top="9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69.702644pt;width:67pt;height:15.3pt;mso-position-horizontal-relative:page;mso-position-vertical-relative:page;z-index:-1581619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3359-60-</w:t>
                </w:r>
                <w:r>
                  <w:rPr>
                    <w:spacing w:val="-4"/>
                  </w:rPr>
                  <w:t>03.4</w:t>
                </w:r>
              </w:p>
            </w:txbxContent>
          </v:textbox>
          <w10:wrap type="none"/>
        </v:shape>
      </w:pict>
    </w:r>
    <w:r>
      <w:rPr/>
      <w:pict>
        <v:shape style="position:absolute;margin-left:179pt;margin-top:69.702644pt;width:199.35pt;height:15.3pt;mso-position-horizontal-relative:page;mso-position-vertical-relative:page;z-index:-15815680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Academic reassessment and </w:t>
                </w:r>
                <w:r>
                  <w:rPr>
                    <w:b/>
                    <w:spacing w:val="-2"/>
                    <w:sz w:val="24"/>
                  </w:rPr>
                  <w:t>discipline.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69.702644pt;width:67pt;height:15.3pt;mso-position-horizontal-relative:page;mso-position-vertical-relative:page;z-index:-15815168" type="#_x0000_t202" id="docshape3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3359-60-</w:t>
                </w:r>
                <w:r>
                  <w:rPr>
                    <w:spacing w:val="-4"/>
                  </w:rPr>
                  <w:t>03.4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216003pt;margin-top:69.702644pt;width:13pt;height:15.3pt;mso-position-horizontal-relative:page;mso-position-vertical-relative:page;z-index:-15814656" type="#_x0000_t202" id="docshape4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(%1)"/>
      <w:lvlJc w:val="left"/>
      <w:pPr>
        <w:ind w:left="513" w:hanging="3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253" w:hanging="3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580" w:hanging="3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2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5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7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0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2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5" w:hanging="3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53" w:right="118" w:hanging="567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2023-05-01T19:46:24Z</dcterms:created>
  <dcterms:modified xsi:type="dcterms:W3CDTF">2023-05-01T19:46:24Z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LastSaved">
    <vt:filetime>2023-05-01T00:00:00Z</vt:filetime>
  </property>
  <property fmtid="{D5CDD505-2E9C-101B-9397-08002B2CF9AE}" pid="4" name="Producer">
    <vt:lpwstr>iText 2.1.7 by 1T3XT</vt:lpwstr>
  </property>
</Properties>
</file>